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Servisní smlouva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na </w:t>
      </w:r>
      <w:r>
        <w:rPr>
          <w:rFonts w:ascii="Arial" w:eastAsia="Arial" w:hAnsi="Arial" w:cs="Arial"/>
          <w:b/>
          <w:sz w:val="36"/>
          <w:szCs w:val="36"/>
        </w:rPr>
        <w:t xml:space="preserve">venkovní elektronickou 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úřední desku</w:t>
      </w:r>
    </w:p>
    <w:p w:rsidR="003927A0" w:rsidRPr="003927A0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sz w:val="24"/>
          <w:szCs w:val="24"/>
        </w:rPr>
      </w:pPr>
      <w:r w:rsidRPr="003927A0">
        <w:rPr>
          <w:rFonts w:ascii="Arial" w:eastAsia="Arial" w:hAnsi="Arial" w:cs="Arial"/>
          <w:sz w:val="24"/>
          <w:szCs w:val="24"/>
        </w:rPr>
        <w:t>číslo STP/21/106</w:t>
      </w:r>
    </w:p>
    <w:p w:rsidR="006B7560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(uzavřená dle § 2586 a násl. občanského zákoníku)</w:t>
      </w:r>
    </w:p>
    <w:p w:rsidR="006B7560" w:rsidRDefault="006B756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3927A0" w:rsidRDefault="003927A0" w:rsidP="003927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1</w:t>
      </w:r>
    </w:p>
    <w:p w:rsidR="003927A0" w:rsidRDefault="003927A0" w:rsidP="003927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</w:t>
      </w:r>
    </w:p>
    <w:p w:rsidR="003927A0" w:rsidRPr="00F3039F" w:rsidRDefault="003927A0" w:rsidP="003927A0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F3039F">
        <w:rPr>
          <w:rFonts w:ascii="Arial" w:eastAsia="Arial" w:hAnsi="Arial" w:cs="Arial"/>
          <w:b/>
          <w:color w:val="000000"/>
          <w:sz w:val="22"/>
          <w:szCs w:val="22"/>
        </w:rPr>
        <w:t xml:space="preserve">Zhotovitel: 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b/>
          <w:sz w:val="22"/>
          <w:szCs w:val="22"/>
        </w:rPr>
      </w:pPr>
      <w:r w:rsidRPr="00F3039F">
        <w:rPr>
          <w:rFonts w:ascii="Arial" w:eastAsia="Arial" w:hAnsi="Arial" w:cs="Arial"/>
          <w:b/>
          <w:sz w:val="22"/>
          <w:szCs w:val="22"/>
        </w:rPr>
        <w:t>VERA, spol. s r. o.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F3039F">
        <w:rPr>
          <w:rFonts w:ascii="Arial" w:eastAsia="Arial" w:hAnsi="Arial" w:cs="Arial"/>
          <w:sz w:val="22"/>
          <w:szCs w:val="22"/>
        </w:rPr>
        <w:t>se sídlem Praha 6 - Vokovice, Lužná 716/2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F3039F">
        <w:rPr>
          <w:rFonts w:ascii="Arial" w:eastAsia="Arial" w:hAnsi="Arial" w:cs="Arial"/>
          <w:sz w:val="22"/>
          <w:szCs w:val="22"/>
        </w:rPr>
        <w:t>kontaktní adresa: Klicperovo náměstí 39, 503 51 Chlumec n. C.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3039F">
        <w:rPr>
          <w:rFonts w:ascii="Arial" w:eastAsia="Arial" w:hAnsi="Arial" w:cs="Arial"/>
          <w:sz w:val="22"/>
          <w:szCs w:val="22"/>
        </w:rPr>
        <w:t>IČO :</w:t>
      </w:r>
      <w:proofErr w:type="gramEnd"/>
      <w:r w:rsidRPr="00F3039F">
        <w:rPr>
          <w:rFonts w:ascii="Arial" w:eastAsia="Arial" w:hAnsi="Arial" w:cs="Arial"/>
          <w:sz w:val="22"/>
          <w:szCs w:val="22"/>
        </w:rPr>
        <w:t xml:space="preserve">  62587978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3039F">
        <w:rPr>
          <w:rFonts w:ascii="Arial" w:eastAsia="Arial" w:hAnsi="Arial" w:cs="Arial"/>
          <w:sz w:val="22"/>
          <w:szCs w:val="22"/>
        </w:rPr>
        <w:t>DIČ :</w:t>
      </w:r>
      <w:proofErr w:type="gramEnd"/>
      <w:r w:rsidRPr="00F3039F">
        <w:rPr>
          <w:rFonts w:ascii="Arial" w:eastAsia="Arial" w:hAnsi="Arial" w:cs="Arial"/>
          <w:sz w:val="22"/>
          <w:szCs w:val="22"/>
        </w:rPr>
        <w:t xml:space="preserve">  CZ62587978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F3039F">
        <w:rPr>
          <w:rFonts w:ascii="Arial" w:eastAsia="Arial" w:hAnsi="Arial" w:cs="Arial"/>
          <w:sz w:val="22"/>
          <w:szCs w:val="22"/>
        </w:rPr>
        <w:t>Zapsána v obchodním rejstříku vedeném Městským soudem</w:t>
      </w: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F3039F">
        <w:rPr>
          <w:rFonts w:ascii="Arial" w:eastAsia="Arial" w:hAnsi="Arial" w:cs="Arial"/>
          <w:sz w:val="22"/>
          <w:szCs w:val="22"/>
        </w:rPr>
        <w:t>v Praze v oddílu C, vložka 34140</w:t>
      </w:r>
    </w:p>
    <w:p w:rsidR="00703962" w:rsidRDefault="00703962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3927A0" w:rsidRPr="00F3039F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F3039F">
        <w:rPr>
          <w:rFonts w:ascii="Arial" w:eastAsia="Arial" w:hAnsi="Arial" w:cs="Arial"/>
          <w:sz w:val="22"/>
          <w:szCs w:val="22"/>
        </w:rPr>
        <w:t>Zastoupená: jednatelem Ing. Jiřím Matouškem</w:t>
      </w:r>
    </w:p>
    <w:p w:rsidR="003927A0" w:rsidRPr="00374B26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374B26">
        <w:rPr>
          <w:rFonts w:ascii="Arial" w:eastAsia="Arial" w:hAnsi="Arial" w:cs="Arial"/>
          <w:sz w:val="22"/>
          <w:szCs w:val="22"/>
        </w:rPr>
        <w:t>(dále jen „</w:t>
      </w:r>
      <w:r w:rsidRPr="00374B26">
        <w:rPr>
          <w:rFonts w:ascii="Arial" w:eastAsia="Arial" w:hAnsi="Arial" w:cs="Arial"/>
          <w:b/>
          <w:sz w:val="22"/>
          <w:szCs w:val="22"/>
        </w:rPr>
        <w:t>Zhotovitel“</w:t>
      </w:r>
      <w:r w:rsidRPr="00374B26">
        <w:rPr>
          <w:rFonts w:ascii="Arial" w:eastAsia="Arial" w:hAnsi="Arial" w:cs="Arial"/>
          <w:sz w:val="22"/>
          <w:szCs w:val="22"/>
        </w:rPr>
        <w:t xml:space="preserve">) na straně druhé </w:t>
      </w:r>
    </w:p>
    <w:p w:rsidR="003927A0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</w:t>
      </w:r>
    </w:p>
    <w:p w:rsidR="003927A0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1.2. Objednatel: </w:t>
      </w:r>
    </w:p>
    <w:p w:rsidR="003927A0" w:rsidRPr="00374B26" w:rsidRDefault="003927A0" w:rsidP="003927A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74B26">
        <w:rPr>
          <w:rFonts w:ascii="Arial" w:eastAsia="Arial" w:hAnsi="Arial" w:cs="Arial"/>
          <w:b/>
          <w:color w:val="000000"/>
          <w:sz w:val="22"/>
          <w:szCs w:val="22"/>
        </w:rPr>
        <w:t>Město Nový Bydžov</w:t>
      </w:r>
    </w:p>
    <w:p w:rsidR="003927A0" w:rsidRPr="00374B26" w:rsidRDefault="003927A0" w:rsidP="003927A0">
      <w:pPr>
        <w:spacing w:before="60"/>
        <w:ind w:left="426" w:right="-286"/>
        <w:jc w:val="both"/>
        <w:rPr>
          <w:rFonts w:ascii="Arial" w:eastAsia="Arial" w:hAnsi="Arial" w:cs="Arial"/>
          <w:sz w:val="22"/>
          <w:szCs w:val="22"/>
        </w:rPr>
      </w:pPr>
      <w:r w:rsidRPr="00374B26">
        <w:rPr>
          <w:rFonts w:ascii="Arial" w:eastAsia="Arial" w:hAnsi="Arial" w:cs="Arial"/>
          <w:sz w:val="22"/>
          <w:szCs w:val="22"/>
        </w:rPr>
        <w:t>se sídlem Masarykovo nám. 1, 504 01 Nový Bydžov</w:t>
      </w:r>
    </w:p>
    <w:p w:rsidR="003927A0" w:rsidRPr="00374B26" w:rsidRDefault="003927A0" w:rsidP="003927A0">
      <w:pPr>
        <w:spacing w:before="60"/>
        <w:ind w:left="426" w:right="-286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374B26">
        <w:rPr>
          <w:rFonts w:ascii="Arial" w:eastAsia="Arial" w:hAnsi="Arial" w:cs="Arial"/>
          <w:sz w:val="22"/>
          <w:szCs w:val="22"/>
        </w:rPr>
        <w:t>IČO :</w:t>
      </w:r>
      <w:proofErr w:type="gramEnd"/>
      <w:r w:rsidRPr="00374B26">
        <w:rPr>
          <w:rFonts w:ascii="Arial" w:eastAsia="Arial" w:hAnsi="Arial" w:cs="Arial"/>
          <w:sz w:val="22"/>
          <w:szCs w:val="22"/>
        </w:rPr>
        <w:t xml:space="preserve">  00269247</w:t>
      </w:r>
    </w:p>
    <w:p w:rsidR="003927A0" w:rsidRPr="00374B26" w:rsidRDefault="003927A0" w:rsidP="003927A0">
      <w:pPr>
        <w:spacing w:before="60"/>
        <w:ind w:left="426" w:right="-286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374B26">
        <w:rPr>
          <w:rFonts w:ascii="Arial" w:eastAsia="Arial" w:hAnsi="Arial" w:cs="Arial"/>
          <w:sz w:val="22"/>
          <w:szCs w:val="22"/>
        </w:rPr>
        <w:t>DIČ :</w:t>
      </w:r>
      <w:proofErr w:type="gramEnd"/>
      <w:r w:rsidRPr="00374B26">
        <w:rPr>
          <w:rFonts w:ascii="Arial" w:eastAsia="Arial" w:hAnsi="Arial" w:cs="Arial"/>
          <w:sz w:val="22"/>
          <w:szCs w:val="22"/>
        </w:rPr>
        <w:t xml:space="preserve">  CZ00269247</w:t>
      </w:r>
    </w:p>
    <w:p w:rsidR="003927A0" w:rsidRPr="00374B26" w:rsidRDefault="003927A0" w:rsidP="003927A0">
      <w:pPr>
        <w:spacing w:before="60"/>
        <w:ind w:left="426" w:right="-286"/>
        <w:jc w:val="both"/>
        <w:rPr>
          <w:rFonts w:ascii="Arial" w:eastAsia="Arial" w:hAnsi="Arial" w:cs="Arial"/>
          <w:sz w:val="22"/>
          <w:szCs w:val="22"/>
        </w:rPr>
      </w:pPr>
      <w:r w:rsidRPr="00374B26">
        <w:rPr>
          <w:rFonts w:ascii="Arial" w:eastAsia="Arial" w:hAnsi="Arial" w:cs="Arial"/>
          <w:sz w:val="22"/>
          <w:szCs w:val="22"/>
        </w:rPr>
        <w:t>Tel.:  495 490 310</w:t>
      </w:r>
    </w:p>
    <w:p w:rsidR="003927A0" w:rsidRPr="00374B26" w:rsidRDefault="003927A0" w:rsidP="003927A0">
      <w:pPr>
        <w:spacing w:before="60"/>
        <w:ind w:left="426" w:right="-286"/>
        <w:jc w:val="both"/>
        <w:rPr>
          <w:rFonts w:ascii="Arial" w:eastAsia="Arial" w:hAnsi="Arial" w:cs="Arial"/>
          <w:sz w:val="22"/>
          <w:szCs w:val="22"/>
        </w:rPr>
      </w:pPr>
      <w:r w:rsidRPr="00374B26">
        <w:rPr>
          <w:rFonts w:ascii="Arial" w:eastAsia="Arial" w:hAnsi="Arial" w:cs="Arial"/>
          <w:sz w:val="22"/>
          <w:szCs w:val="22"/>
        </w:rPr>
        <w:t>Zastoupený: starostou Ing. Pavlem Loudou</w:t>
      </w:r>
    </w:p>
    <w:p w:rsidR="003927A0" w:rsidRDefault="003927A0" w:rsidP="003927A0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(dále jen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na straně jedné </w:t>
      </w:r>
    </w:p>
    <w:p w:rsidR="003927A0" w:rsidRDefault="003927A0" w:rsidP="0039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2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6B7560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Účelem této servisní smlouvy je určení a definice závazku smluvních stran ve smyslu poskytování technické servisní podpory (dále jen „servis nebo servisní podpora”). Zhotovitelem pro </w:t>
      </w:r>
      <w:r w:rsidR="00F05BE7">
        <w:rPr>
          <w:rFonts w:ascii="Arial" w:eastAsia="Arial" w:hAnsi="Arial" w:cs="Arial"/>
          <w:sz w:val="22"/>
          <w:szCs w:val="22"/>
        </w:rPr>
        <w:t xml:space="preserve">Objednatele </w:t>
      </w:r>
      <w:r>
        <w:rPr>
          <w:rFonts w:ascii="Arial" w:eastAsia="Arial" w:hAnsi="Arial" w:cs="Arial"/>
          <w:sz w:val="22"/>
          <w:szCs w:val="22"/>
        </w:rPr>
        <w:t>ve vztahu k</w:t>
      </w:r>
      <w:r w:rsidR="001E77BC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dílu</w:t>
      </w:r>
      <w:r w:rsidR="001E77BC">
        <w:rPr>
          <w:rFonts w:ascii="Arial" w:eastAsia="Arial" w:hAnsi="Arial" w:cs="Arial"/>
          <w:sz w:val="22"/>
          <w:szCs w:val="22"/>
        </w:rPr>
        <w:t xml:space="preserve"> </w:t>
      </w:r>
      <w:r w:rsidR="001E77BC" w:rsidRPr="00310619">
        <w:rPr>
          <w:rFonts w:ascii="Arial" w:eastAsia="Arial" w:hAnsi="Arial" w:cs="Arial"/>
          <w:sz w:val="22"/>
          <w:szCs w:val="22"/>
        </w:rPr>
        <w:t>Digitální úřední deska pro uživatele města Nový Bydžov</w:t>
      </w:r>
      <w:r w:rsidR="001E77BC">
        <w:rPr>
          <w:rFonts w:ascii="Arial" w:eastAsia="Arial" w:hAnsi="Arial" w:cs="Arial"/>
          <w:sz w:val="22"/>
          <w:szCs w:val="22"/>
        </w:rPr>
        <w:t xml:space="preserve"> realizovanému </w:t>
      </w:r>
      <w:r w:rsidR="001E77BC" w:rsidRPr="001E77BC">
        <w:rPr>
          <w:rFonts w:ascii="Arial" w:eastAsia="Arial" w:hAnsi="Arial" w:cs="Arial"/>
          <w:sz w:val="22"/>
          <w:szCs w:val="22"/>
        </w:rPr>
        <w:t xml:space="preserve">dle </w:t>
      </w:r>
      <w:r w:rsidR="001E77BC" w:rsidRPr="00AA670B">
        <w:rPr>
          <w:rFonts w:ascii="Arial" w:eastAsia="Arial" w:hAnsi="Arial" w:cs="Arial"/>
          <w:sz w:val="22"/>
          <w:szCs w:val="22"/>
        </w:rPr>
        <w:t>Smlouv</w:t>
      </w:r>
      <w:r w:rsidR="001E77BC">
        <w:rPr>
          <w:rFonts w:ascii="Arial" w:eastAsia="Arial" w:hAnsi="Arial" w:cs="Arial"/>
          <w:sz w:val="22"/>
          <w:szCs w:val="22"/>
        </w:rPr>
        <w:t>y</w:t>
      </w:r>
      <w:r w:rsidR="001E77BC" w:rsidRPr="00AA670B">
        <w:rPr>
          <w:rFonts w:ascii="Arial" w:eastAsia="Arial" w:hAnsi="Arial" w:cs="Arial"/>
          <w:sz w:val="22"/>
          <w:szCs w:val="22"/>
        </w:rPr>
        <w:t xml:space="preserve"> o </w:t>
      </w:r>
      <w:r w:rsidR="001E77BC">
        <w:rPr>
          <w:rFonts w:ascii="Arial" w:eastAsia="Arial" w:hAnsi="Arial" w:cs="Arial"/>
          <w:sz w:val="22"/>
          <w:szCs w:val="22"/>
        </w:rPr>
        <w:t xml:space="preserve">dílo </w:t>
      </w:r>
      <w:r w:rsidR="003927A0">
        <w:rPr>
          <w:rFonts w:ascii="Arial" w:eastAsia="Arial" w:hAnsi="Arial" w:cs="Arial"/>
          <w:sz w:val="22"/>
          <w:szCs w:val="22"/>
        </w:rPr>
        <w:t>číslo SD/21/</w:t>
      </w:r>
      <w:proofErr w:type="gramStart"/>
      <w:r w:rsidR="003927A0">
        <w:rPr>
          <w:rFonts w:ascii="Arial" w:eastAsia="Arial" w:hAnsi="Arial" w:cs="Arial"/>
          <w:sz w:val="22"/>
          <w:szCs w:val="22"/>
        </w:rPr>
        <w:t xml:space="preserve">151 </w:t>
      </w:r>
      <w:r w:rsidR="00F65B87">
        <w:rPr>
          <w:rFonts w:ascii="Arial" w:eastAsia="Arial" w:hAnsi="Arial" w:cs="Arial"/>
          <w:sz w:val="22"/>
          <w:szCs w:val="22"/>
        </w:rPr>
        <w:t xml:space="preserve"> (</w:t>
      </w:r>
      <w:proofErr w:type="gramEnd"/>
      <w:r w:rsidR="00F65B87">
        <w:rPr>
          <w:rFonts w:ascii="Arial" w:eastAsia="Arial" w:hAnsi="Arial" w:cs="Arial"/>
          <w:sz w:val="22"/>
          <w:szCs w:val="22"/>
        </w:rPr>
        <w:t>dále jen „Smlouva o dílo“)</w:t>
      </w:r>
      <w:r w:rsidR="001E77BC"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z w:val="22"/>
          <w:szCs w:val="22"/>
        </w:rPr>
        <w:t xml:space="preserve">a to zejména časové a věcné vymezení způsobu provádění servisních činností Zhotovitelem, stanovení předmětu a rozsahu servisních činností, určení ceny těchto činností a způsobu její úhrady, v případech na nichž se neuplatní práva z vad a záruky dle uvedené </w:t>
      </w:r>
      <w:r w:rsidR="00F65B87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mlouvy o dílo.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2.2 Zhotovitel touto smlouvou uzavírá s Objednatelem servisní vztah na dobu 60 měsíců od </w:t>
      </w:r>
      <w:r w:rsidR="001E77BC">
        <w:rPr>
          <w:rFonts w:ascii="Arial" w:eastAsia="Arial" w:hAnsi="Arial" w:cs="Arial"/>
          <w:sz w:val="22"/>
          <w:szCs w:val="22"/>
        </w:rPr>
        <w:t xml:space="preserve">předání díla </w:t>
      </w:r>
      <w:r w:rsidR="00F65B87">
        <w:rPr>
          <w:rFonts w:ascii="Arial" w:eastAsia="Arial" w:hAnsi="Arial" w:cs="Arial"/>
          <w:sz w:val="22"/>
          <w:szCs w:val="22"/>
        </w:rPr>
        <w:t>dle Smlouvy o dílo.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05BE7">
        <w:rPr>
          <w:rFonts w:ascii="Arial" w:eastAsia="Arial" w:hAnsi="Arial" w:cs="Arial"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 xml:space="preserve"> se na základě této smlouvy zavazuje Zhotoviteli zaplatit za servisní služby a údržbu dohodnutou cenu.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2.3 Smluvní strany shodně prohlašují, že identifikační údaje uvedené ve smlouvě jsou v souladu s právní skutečností v době uzavření smlouvy.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2.4  Zhotovitel prohlašuje, že je odborně způsobilý k zajištění předmětu smlouvy.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2.5  Zhotovitel a Objednatel se zavazují ke vzájemné součinnosti za účelem plnění předmětu smlouvy.</w:t>
      </w:r>
    </w:p>
    <w:p w:rsidR="006B7560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3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URČENÍ TYPU SERVISNÍ PODPORY A SERVISNÍHO OBDOBÍ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Objednatel se zavazuje poskytnout Zhotoviteli potřebné informace a podklady, které jsou nezbytné k</w:t>
      </w:r>
      <w:r>
        <w:rPr>
          <w:rFonts w:ascii="Arial" w:eastAsia="Arial" w:hAnsi="Arial" w:cs="Arial"/>
          <w:sz w:val="22"/>
          <w:szCs w:val="22"/>
        </w:rPr>
        <w:t> plnění předmětu smlouvy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Zhotovitel zajistí, že veškeré vlastnosti díla, včetně jeho update, legislativního update, upgrade a legislativního upgrade budou po celou dobu účinnosti této smlouvy odpovídat vždy aktuálním obecně platným právním předpisům ČR a platným standardům informačních systémů veřejné správy.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3.3 Zhotovitel zajistí v rámci běžného rozvoje jednotlivých modulů informačního systému Zhotovitele poskytnutí aktualizovaných verzí nejpozději do 1 měsíce po uvolnění nové verze k distribuci</w:t>
      </w:r>
      <w:r w:rsidR="00F05BE7">
        <w:rPr>
          <w:rFonts w:ascii="Arial" w:eastAsia="Arial" w:hAnsi="Arial" w:cs="Arial"/>
          <w:sz w:val="22"/>
          <w:szCs w:val="22"/>
        </w:rPr>
        <w:t xml:space="preserve"> Zhotovitelem.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3.4 Objednatel zajistí součinnost zaměstnanců při zásadním upgradu operačního systému </w:t>
      </w:r>
      <w:r>
        <w:rPr>
          <w:rFonts w:ascii="Arial" w:eastAsia="Arial" w:hAnsi="Arial" w:cs="Arial"/>
          <w:sz w:val="22"/>
          <w:szCs w:val="22"/>
        </w:rPr>
        <w:br/>
        <w:t>a databázového systému na vyšší verze.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3.5 Technická podpora a servis zařízení HW a SW budou realizovány Zhotovitelem, případně prostřednictvím odpovídajícího servisního kanálu výrobce.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3.6 Technická podpora a servis budou realizovány v místě </w:t>
      </w:r>
      <w:r w:rsidR="003927A0">
        <w:rPr>
          <w:rFonts w:ascii="Arial" w:eastAsia="Arial" w:hAnsi="Arial" w:cs="Arial"/>
          <w:sz w:val="22"/>
          <w:szCs w:val="22"/>
        </w:rPr>
        <w:t>sídla Objednatele</w:t>
      </w:r>
      <w:r>
        <w:rPr>
          <w:rFonts w:ascii="Arial" w:eastAsia="Arial" w:hAnsi="Arial" w:cs="Arial"/>
          <w:sz w:val="22"/>
          <w:szCs w:val="22"/>
        </w:rPr>
        <w:t xml:space="preserve">. Výjimku tvoří činnosti realizované vzdáleným připojením Zhotovitele do prostředí </w:t>
      </w:r>
      <w:r w:rsidR="003927A0">
        <w:rPr>
          <w:rFonts w:ascii="Arial" w:eastAsia="Arial" w:hAnsi="Arial" w:cs="Arial"/>
          <w:sz w:val="22"/>
          <w:szCs w:val="22"/>
        </w:rPr>
        <w:t>Objednatele</w:t>
      </w:r>
      <w:r>
        <w:rPr>
          <w:rFonts w:ascii="Arial" w:eastAsia="Arial" w:hAnsi="Arial" w:cs="Arial"/>
          <w:sz w:val="22"/>
          <w:szCs w:val="22"/>
        </w:rPr>
        <w:t>.</w:t>
      </w:r>
    </w:p>
    <w:p w:rsidR="006B7560" w:rsidRDefault="000C4111" w:rsidP="00CD0C3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 xml:space="preserve">3.7 Služba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 w:rsidR="00DD677A">
        <w:rPr>
          <w:rFonts w:ascii="Arial" w:eastAsia="Arial" w:hAnsi="Arial" w:cs="Arial"/>
          <w:sz w:val="22"/>
          <w:szCs w:val="22"/>
        </w:rPr>
        <w:t>otLine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DD677A">
        <w:rPr>
          <w:rFonts w:ascii="Arial" w:eastAsia="Arial" w:hAnsi="Arial" w:cs="Arial"/>
          <w:sz w:val="22"/>
          <w:szCs w:val="22"/>
        </w:rPr>
        <w:t xml:space="preserve">zajišťuje </w:t>
      </w:r>
      <w:r>
        <w:rPr>
          <w:rFonts w:ascii="Arial" w:eastAsia="Arial" w:hAnsi="Arial" w:cs="Arial"/>
          <w:sz w:val="22"/>
          <w:szCs w:val="22"/>
        </w:rPr>
        <w:t xml:space="preserve">příjem požadavku na servisní zásah v českém jazyce na telefonním čísle: </w:t>
      </w:r>
      <w:r w:rsidR="00CD0C34">
        <w:rPr>
          <w:rFonts w:ascii="Arial" w:eastAsia="Arial" w:hAnsi="Arial" w:cs="Arial"/>
          <w:sz w:val="22"/>
          <w:szCs w:val="22"/>
        </w:rPr>
        <w:t xml:space="preserve">771 141 383 </w:t>
      </w:r>
      <w:r>
        <w:rPr>
          <w:rFonts w:ascii="Arial" w:eastAsia="Arial" w:hAnsi="Arial" w:cs="Arial"/>
          <w:sz w:val="22"/>
          <w:szCs w:val="22"/>
        </w:rPr>
        <w:t>v režimu 5x9 (9 hodin v pracovní dny) v době od 08:00 do 17:00 hod</w:t>
      </w:r>
      <w:r w:rsidR="00DD677A">
        <w:rPr>
          <w:rFonts w:ascii="Arial" w:eastAsia="Arial" w:hAnsi="Arial" w:cs="Arial"/>
          <w:sz w:val="22"/>
          <w:szCs w:val="22"/>
        </w:rPr>
        <w:t xml:space="preserve">. nebo na e-mail adrese </w:t>
      </w:r>
      <w:hyperlink r:id="rId8" w:history="1">
        <w:r w:rsidR="00DD677A" w:rsidRPr="00DD677A">
          <w:rPr>
            <w:rFonts w:ascii="Arial" w:eastAsia="Arial" w:hAnsi="Arial" w:cs="Arial"/>
            <w:color w:val="000000"/>
            <w:sz w:val="22"/>
            <w:szCs w:val="22"/>
          </w:rPr>
          <w:t>hotline@vera.cz</w:t>
        </w:r>
      </w:hyperlink>
      <w:r w:rsidRPr="00DD677A">
        <w:rPr>
          <w:rFonts w:ascii="Arial" w:eastAsia="Arial" w:hAnsi="Arial" w:cs="Arial"/>
          <w:sz w:val="22"/>
          <w:szCs w:val="22"/>
        </w:rPr>
        <w:t>, příje</w:t>
      </w:r>
      <w:r>
        <w:rPr>
          <w:rFonts w:ascii="Arial" w:eastAsia="Arial" w:hAnsi="Arial" w:cs="Arial"/>
          <w:sz w:val="22"/>
          <w:szCs w:val="22"/>
        </w:rPr>
        <w:t>m požadavku bude zajištěn lidskou obsluhou.</w:t>
      </w:r>
    </w:p>
    <w:p w:rsidR="00DD677A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 w:rsidR="00DD677A">
        <w:rPr>
          <w:rFonts w:ascii="Arial" w:eastAsia="Arial" w:hAnsi="Arial" w:cs="Arial"/>
          <w:sz w:val="22"/>
          <w:szCs w:val="22"/>
        </w:rPr>
        <w:t>8</w:t>
      </w:r>
      <w:r w:rsidR="002F1F85">
        <w:rPr>
          <w:rFonts w:ascii="Arial" w:eastAsia="Arial" w:hAnsi="Arial" w:cs="Arial"/>
          <w:sz w:val="22"/>
          <w:szCs w:val="22"/>
        </w:rPr>
        <w:t xml:space="preserve"> </w:t>
      </w:r>
      <w:r w:rsidR="00DD677A">
        <w:rPr>
          <w:rFonts w:ascii="Arial" w:eastAsia="Arial" w:hAnsi="Arial" w:cs="Arial"/>
          <w:sz w:val="22"/>
          <w:szCs w:val="22"/>
        </w:rPr>
        <w:t>Veškeré požadavky budou evidovány v systému servisní podpory Zhotovitele (</w:t>
      </w:r>
      <w:proofErr w:type="spellStart"/>
      <w:r w:rsidR="00DD677A">
        <w:rPr>
          <w:rFonts w:ascii="Arial" w:eastAsia="Arial" w:hAnsi="Arial" w:cs="Arial"/>
          <w:sz w:val="22"/>
          <w:szCs w:val="22"/>
        </w:rPr>
        <w:t>H</w:t>
      </w:r>
      <w:r w:rsidR="00CD0C34">
        <w:rPr>
          <w:rFonts w:ascii="Arial" w:eastAsia="Arial" w:hAnsi="Arial" w:cs="Arial"/>
          <w:sz w:val="22"/>
          <w:szCs w:val="22"/>
        </w:rPr>
        <w:t>otLine</w:t>
      </w:r>
      <w:proofErr w:type="spellEnd"/>
      <w:r w:rsidR="00DD677A">
        <w:rPr>
          <w:rFonts w:ascii="Arial" w:eastAsia="Arial" w:hAnsi="Arial" w:cs="Arial"/>
          <w:sz w:val="22"/>
          <w:szCs w:val="22"/>
        </w:rPr>
        <w:t>).</w:t>
      </w:r>
    </w:p>
    <w:p w:rsidR="006B7560" w:rsidRDefault="00DD67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3.9 </w:t>
      </w:r>
      <w:r w:rsidR="000C4111">
        <w:rPr>
          <w:rFonts w:ascii="Arial" w:eastAsia="Arial" w:hAnsi="Arial" w:cs="Arial"/>
          <w:sz w:val="22"/>
          <w:szCs w:val="22"/>
        </w:rPr>
        <w:t>Servisní podpora začíná být poskytována od předání díla Objednateli Zhotovitelem na základě předávacího protokolu.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3.10 Po skončení zkušebního provozu servisní podpory začíná běžet ostrý provoz a servisní podpora bude poskytována </w:t>
      </w:r>
      <w:r w:rsidR="00425434">
        <w:rPr>
          <w:rFonts w:ascii="Arial" w:eastAsia="Arial" w:hAnsi="Arial" w:cs="Arial"/>
          <w:sz w:val="22"/>
          <w:szCs w:val="22"/>
        </w:rPr>
        <w:t>za cenu a po dobu dle ustanovení čl. 4 bod 4.1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3.11. Cena spotřebního materiálu, pokud nesouvisí s řešením situací v rámci trvání záruční doby ustanovené smlouvy o dílo není zahrnuta v servisním poplatku. Na vyřešení oprávněných požadavků, které souvisí s řešením v rámci záruční doby díla, se tento bod nevztahuje.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3.12. Náklady na dopravné a práce technika v hodinové sazbě nejsou v případě řešení záležitosti odpovídající záručním podmínkám zpoplatněny. V případě, že se jedná o zásah,   řešení situací po záruční době 24 měsíců, nejsou náklady na dopravné a práce technika v hodinové sazbě zahrnuty v servisním poplatku a jsou sjednány na základě cenové nabídky této smlouvy dle článku 4, odstavce 4.3 této smlouvy.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3.13 Po celou dobu poskytování servisní podpory je Zhotovitel povinen poskytnout Objednateli na jeho vyžádání písemný přehled provedených činností.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3.14 Oprava díla, která nespadá pod podmínky řešení v rámci záruky, bude prováděna na základě samostatné objednávky.</w:t>
      </w:r>
    </w:p>
    <w:p w:rsidR="006B7560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4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CENY</w:t>
      </w:r>
    </w:p>
    <w:p w:rsidR="006B7560" w:rsidRPr="00F65B87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Arial" w:eastAsia="Arial" w:hAnsi="Arial" w:cs="Arial"/>
          <w:sz w:val="22"/>
          <w:szCs w:val="22"/>
        </w:rPr>
      </w:pPr>
      <w:r w:rsidRPr="009D268D">
        <w:rPr>
          <w:rFonts w:ascii="Arial" w:eastAsia="Arial" w:hAnsi="Arial" w:cs="Arial"/>
          <w:sz w:val="22"/>
          <w:szCs w:val="22"/>
        </w:rPr>
        <w:t>4</w:t>
      </w:r>
      <w:r w:rsidRPr="00F65B87">
        <w:rPr>
          <w:rFonts w:ascii="Arial" w:eastAsia="Arial" w:hAnsi="Arial" w:cs="Arial"/>
          <w:color w:val="000000"/>
          <w:sz w:val="22"/>
          <w:szCs w:val="22"/>
        </w:rPr>
        <w:t xml:space="preserve">.1 </w:t>
      </w:r>
      <w:r w:rsidRPr="00F65B87">
        <w:rPr>
          <w:rFonts w:ascii="Arial" w:eastAsia="Arial" w:hAnsi="Arial" w:cs="Arial"/>
          <w:sz w:val="22"/>
          <w:szCs w:val="22"/>
        </w:rPr>
        <w:t>Cena za měsíční poskytování servisní podpory je zahrnuta v celkové ceně díla a není účtována po celou dobu udržitelnosti projektu, tedy 60 měsíců</w:t>
      </w:r>
      <w:r w:rsidRPr="009D268D">
        <w:rPr>
          <w:rFonts w:ascii="Arial" w:eastAsia="Arial" w:hAnsi="Arial" w:cs="Arial"/>
          <w:sz w:val="22"/>
          <w:szCs w:val="22"/>
        </w:rPr>
        <w:t xml:space="preserve">. </w:t>
      </w:r>
    </w:p>
    <w:p w:rsidR="006B7560" w:rsidRPr="00F65B87" w:rsidRDefault="000C4111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sz w:val="22"/>
          <w:szCs w:val="22"/>
        </w:rPr>
      </w:pPr>
      <w:r w:rsidRPr="00F65B87">
        <w:rPr>
          <w:rFonts w:ascii="Arial" w:eastAsia="Arial" w:hAnsi="Arial" w:cs="Arial"/>
          <w:sz w:val="22"/>
          <w:szCs w:val="22"/>
        </w:rPr>
        <w:t>4.2 Cena za opravu díla</w:t>
      </w:r>
      <w:r w:rsidR="00F65B87">
        <w:rPr>
          <w:rFonts w:ascii="Arial" w:eastAsia="Arial" w:hAnsi="Arial" w:cs="Arial"/>
          <w:sz w:val="22"/>
          <w:szCs w:val="22"/>
        </w:rPr>
        <w:t xml:space="preserve">, </w:t>
      </w:r>
      <w:r w:rsidR="00F65B87" w:rsidRPr="009D268D">
        <w:rPr>
          <w:rFonts w:ascii="Arial" w:eastAsia="Arial" w:hAnsi="Arial" w:cs="Arial"/>
          <w:sz w:val="22"/>
          <w:szCs w:val="22"/>
        </w:rPr>
        <w:t>která nespadá pod podmínky řešení v rámci záruky</w:t>
      </w:r>
      <w:r w:rsidR="009D268D">
        <w:rPr>
          <w:rFonts w:ascii="Arial" w:eastAsia="Arial" w:hAnsi="Arial" w:cs="Arial"/>
          <w:sz w:val="22"/>
          <w:szCs w:val="22"/>
        </w:rPr>
        <w:t>,</w:t>
      </w:r>
      <w:r w:rsidR="00F65B87" w:rsidRPr="00AA670B">
        <w:rPr>
          <w:rFonts w:ascii="Arial" w:eastAsia="Arial" w:hAnsi="Arial" w:cs="Arial"/>
          <w:sz w:val="22"/>
          <w:szCs w:val="22"/>
        </w:rPr>
        <w:t xml:space="preserve"> </w:t>
      </w:r>
      <w:r w:rsidRPr="009D268D">
        <w:rPr>
          <w:rFonts w:ascii="Arial" w:eastAsia="Arial" w:hAnsi="Arial" w:cs="Arial"/>
          <w:sz w:val="22"/>
          <w:szCs w:val="22"/>
        </w:rPr>
        <w:t xml:space="preserve">bude účtována samostatným daňovým dokladem a bude se skládat z ceny opravy či výměny vadného dílu, </w:t>
      </w:r>
      <w:r w:rsidRPr="00CD0C34">
        <w:rPr>
          <w:rFonts w:ascii="Arial" w:eastAsia="Arial" w:hAnsi="Arial" w:cs="Arial"/>
          <w:sz w:val="22"/>
          <w:szCs w:val="22"/>
        </w:rPr>
        <w:t>nákladů na dopravné (10 Kč/km) a práce technika v hodinové sazbě (1200 Kč/hod.). Ceny</w:t>
      </w:r>
      <w:r w:rsidRPr="009D268D">
        <w:rPr>
          <w:rFonts w:ascii="Arial" w:eastAsia="Arial" w:hAnsi="Arial" w:cs="Arial"/>
          <w:sz w:val="22"/>
          <w:szCs w:val="22"/>
        </w:rPr>
        <w:t xml:space="preserve"> jsou uvedeny bez DPH.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sz w:val="22"/>
          <w:szCs w:val="22"/>
        </w:rPr>
      </w:pPr>
      <w:r w:rsidRPr="00F65B87">
        <w:rPr>
          <w:rFonts w:ascii="Arial" w:eastAsia="Arial" w:hAnsi="Arial" w:cs="Arial"/>
          <w:sz w:val="22"/>
          <w:szCs w:val="22"/>
        </w:rPr>
        <w:lastRenderedPageBreak/>
        <w:t xml:space="preserve">4.3 Smluvní strany se dohodly, že cenu za opravu </w:t>
      </w:r>
      <w:r w:rsidR="009D268D">
        <w:rPr>
          <w:rFonts w:ascii="Arial" w:eastAsia="Arial" w:hAnsi="Arial" w:cs="Arial"/>
          <w:sz w:val="22"/>
          <w:szCs w:val="22"/>
        </w:rPr>
        <w:t>v rámci servisu,</w:t>
      </w:r>
      <w:r w:rsidRPr="009D268D">
        <w:rPr>
          <w:rFonts w:ascii="Arial" w:eastAsia="Arial" w:hAnsi="Arial" w:cs="Arial"/>
          <w:sz w:val="22"/>
          <w:szCs w:val="22"/>
        </w:rPr>
        <w:t xml:space="preserve"> </w:t>
      </w:r>
      <w:r w:rsidR="009D268D" w:rsidRPr="00EE74AC">
        <w:rPr>
          <w:rFonts w:ascii="Arial" w:eastAsia="Arial" w:hAnsi="Arial" w:cs="Arial"/>
          <w:sz w:val="22"/>
          <w:szCs w:val="22"/>
        </w:rPr>
        <w:t>která nespadá pod podmínky řešení v rámci záruky</w:t>
      </w:r>
      <w:r w:rsidR="009D268D">
        <w:rPr>
          <w:rFonts w:ascii="Arial" w:eastAsia="Arial" w:hAnsi="Arial" w:cs="Arial"/>
          <w:sz w:val="22"/>
          <w:szCs w:val="22"/>
        </w:rPr>
        <w:t>,</w:t>
      </w:r>
      <w:r w:rsidR="009D268D" w:rsidRPr="009D268D">
        <w:rPr>
          <w:rFonts w:ascii="Arial" w:eastAsia="Arial" w:hAnsi="Arial" w:cs="Arial"/>
          <w:sz w:val="22"/>
          <w:szCs w:val="22"/>
        </w:rPr>
        <w:t xml:space="preserve"> </w:t>
      </w:r>
      <w:r w:rsidRPr="009D268D">
        <w:rPr>
          <w:rFonts w:ascii="Arial" w:eastAsia="Arial" w:hAnsi="Arial" w:cs="Arial"/>
          <w:sz w:val="22"/>
          <w:szCs w:val="22"/>
        </w:rPr>
        <w:t xml:space="preserve">uhradí Objednatel na základě faktury vystavené </w:t>
      </w:r>
      <w:r w:rsidR="002F1F85" w:rsidRPr="00AA670B">
        <w:rPr>
          <w:rFonts w:ascii="Arial" w:eastAsia="Arial" w:hAnsi="Arial" w:cs="Arial"/>
          <w:sz w:val="22"/>
          <w:szCs w:val="22"/>
        </w:rPr>
        <w:t>Z</w:t>
      </w:r>
      <w:r w:rsidR="0079500E" w:rsidRPr="00AA670B">
        <w:rPr>
          <w:rFonts w:ascii="Arial" w:eastAsia="Arial" w:hAnsi="Arial" w:cs="Arial"/>
          <w:sz w:val="22"/>
          <w:szCs w:val="22"/>
        </w:rPr>
        <w:t>h</w:t>
      </w:r>
      <w:r w:rsidR="002F1F85" w:rsidRPr="009D268D">
        <w:rPr>
          <w:rFonts w:ascii="Arial" w:eastAsia="Arial" w:hAnsi="Arial" w:cs="Arial"/>
          <w:sz w:val="22"/>
          <w:szCs w:val="22"/>
        </w:rPr>
        <w:t>otovitelem</w:t>
      </w:r>
      <w:r w:rsidR="0079500E" w:rsidRPr="00AA670B">
        <w:rPr>
          <w:rFonts w:ascii="Arial" w:eastAsia="Arial" w:hAnsi="Arial" w:cs="Arial"/>
          <w:sz w:val="22"/>
          <w:szCs w:val="22"/>
        </w:rPr>
        <w:t xml:space="preserve"> a doručené Objednateli</w:t>
      </w:r>
      <w:r w:rsidRPr="009D268D">
        <w:rPr>
          <w:rFonts w:ascii="Arial" w:eastAsia="Arial" w:hAnsi="Arial" w:cs="Arial"/>
          <w:sz w:val="22"/>
          <w:szCs w:val="22"/>
        </w:rPr>
        <w:t>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4.4 Lhůta splatnosti faktury je 14 kalendářních dnů ode dne jejího doručení Objednateli. Stejná lhůta splatnosti platí i při placení jiných plateb (oprav, smluvních pokut, úroků z</w:t>
      </w:r>
      <w:r w:rsidR="007A3845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prodlení, náhrady škody apod.).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4.5 Faktura bude vystavena v souladu se zákonem č. 563/1991 Sb., o účetnictví, ve znění pozdějších předpisů, a bude obsahovat údaje v souladu s § 435 zákona č. 89/2012 Sb., občanského zákoníku, ve znění pozdějších předpisů a náležitosti daňového dokladu dle § 29 zákona č. 235/2004 Sb., o dani z přidané hodnoty, ve znění pozdějších předpisů.  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4.6 Faktura musí kromě zákonem stanovených náležitostí pro daňový doklad obsahovat také: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číslo a datum vystavení faktury,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předmět plnění a jeho přesnou specifikaci ve slovním vyjádření (nestačí pouze odkaz na číslo uzavřené smlouvy),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označení banky a čísla účtu, na který musí být zaplaceno,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číslo a datum dokladu o předání a převzetí předmětu smlouvy podepsaného Zhotovitelem a odsouhlaseného Objednatelem (doklad bude přílohou faktury),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lhůtu splatnosti faktury,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>název, sídlo, IČO a DIČ Objednatele a Zhotovitele,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>jméno a vlastnoruční podpis osoby, která fakturu vystavila, včetně kontaktního telefonu.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4.7 Smluvní strany se dohodly, že platba bude provedena na číslo účtu uvedené Zhotovitelem na faktuře bez ohledu na číslo účtu uvedené v čl. 1. této smlouvy o dílo.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4.8 Povinnost zaplatit cenu servisu a ostatní platby jsou splněny dnem odepsání příslušné částky z účtu Objednatele.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4.9 Pokud se Zhotovitel stane nespolehlivým plátcem daně podle § 109 zákona o DPH, je Objednatel oprávněn uhradit Zhotoviteli za zdanitelné plnění částku bez DPH a úhradu DPH provést přímo na příslušný účet daného finančního úřadu dle § 109a zákona o DPH. Zaplacení částky ve výši daně na účet správce daně Zhotovitele a zaplacení ceny bez DPH Zhotoviteli bude považováno za splnění závazku Objednatele uhradit cenu.</w:t>
      </w:r>
    </w:p>
    <w:p w:rsidR="006B7560" w:rsidRDefault="000C4111" w:rsidP="00CD0C34">
      <w:pPr>
        <w:pBdr>
          <w:top w:val="nil"/>
          <w:left w:val="nil"/>
          <w:bottom w:val="nil"/>
          <w:right w:val="nil"/>
          <w:between w:val="nil"/>
        </w:pBdr>
        <w:spacing w:before="36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5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SOUČINNOST SMLUVNÍCH STRAN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.1 </w:t>
      </w:r>
      <w:r>
        <w:rPr>
          <w:rFonts w:ascii="Arial" w:eastAsia="Arial" w:hAnsi="Arial" w:cs="Arial"/>
          <w:sz w:val="22"/>
          <w:szCs w:val="22"/>
        </w:rPr>
        <w:t>Zhotovitel se zavazuje, že pracovníci Zhotovitele budou při plnění závazků, které vyplývají z této smlouvy, dodržovat veškeré bezpečnostní předpisy, veškeré zákony a jejich prováděcí vyhlášky, pokud se vztahují k činnosti Zhotovitele, bezpečnosti práce, požární ochraně.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.2 </w:t>
      </w:r>
      <w:r>
        <w:rPr>
          <w:rFonts w:ascii="Arial" w:eastAsia="Arial" w:hAnsi="Arial" w:cs="Arial"/>
          <w:sz w:val="22"/>
          <w:szCs w:val="22"/>
        </w:rPr>
        <w:t>Objednatel je povinen prokazatelně seznámit Zhotovitele s interními předpisy, které musí Zhotovitel dodržovat.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 Zhotovitel se zavazuje vytvořit ze své strany podmínky směřující k minimalizaci případných škod na technickém vybavení Objednatele vzniklých v souvislosti s prováděním servisních zásahů, které může ovlivnit výhradně Objednatel.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 Zhotovitel odpovídá za škody na technickém vybavení Objednatele, které prokazatelně způsobí pracovníci Zhotovitele.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5.5 Smluvní strany se zavazují, že kontaktní osoby si budou při plnění ustanovení této smlouvy poskytovat vzájemnou co nejúčinnější součinnost po celou dobu od nahlášení požadavku na servisní podporu</w:t>
      </w:r>
      <w:r w:rsidR="002F1F85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až do uzavření servisního případu, a že budou dodržovat postupy specifikované touto smlouvou.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5.6 Objednatel zajistí, aby ze strany Objednatele nebyly Zhotoviteli činěny překážky pro poskytování servisní podpory.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5.7 Objednatel bude poskytovat pracovníkům servisního pracoviště Zhotovitele podle jejich pokynů po celou dobu řešení servisního případu od nahlášení požadavku na servisní podporu</w:t>
      </w:r>
      <w:r w:rsidR="0079500E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až do uzavření servisního případu</w:t>
      </w:r>
      <w:r w:rsidR="0079500E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všechny požadované informace (i datové soubory, kopie obrazovek a výstupy příkazů apod.) a výsledky doporučených úkonů potřebné k diagnostice příčin a řešení oznámených provozních potíží podporovaného vybavení.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5.8 Objednatel umožní pracovníkům servisního pracoviště Zhotovitele vstup na příslušné místo, provedení servisního zásahu a podle místních podmínek jim umožní i vjezd do objektu a parkování vozidla po celou dobu trvání servisního zásahu</w:t>
      </w:r>
      <w:r w:rsidR="0079500E">
        <w:rPr>
          <w:rFonts w:ascii="Arial" w:eastAsia="Arial" w:hAnsi="Arial" w:cs="Arial"/>
          <w:sz w:val="22"/>
          <w:szCs w:val="22"/>
        </w:rPr>
        <w:t>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5.9 Objednatel zajistí po celou dobu trvání servisního zásahu dosažitelnost (případně fyzickou přítomnost) příslušných kontaktních osob Objednatele a případně i dalších potřebných odborných pracovníků v místě instalace podporovaného vybavení a jejich co nejúčinnější součinnost.</w:t>
      </w:r>
    </w:p>
    <w:p w:rsidR="006B7560" w:rsidRDefault="000C411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5.10 </w:t>
      </w:r>
      <w:r w:rsidR="0079500E">
        <w:rPr>
          <w:rFonts w:ascii="Arial" w:eastAsia="Arial" w:hAnsi="Arial" w:cs="Arial"/>
          <w:color w:val="000000"/>
          <w:sz w:val="22"/>
          <w:szCs w:val="22"/>
        </w:rPr>
        <w:t xml:space="preserve">Zhotovitel je povinen nastoupit na odstraňování vady do </w:t>
      </w:r>
      <w:r w:rsidR="0079500E">
        <w:rPr>
          <w:rFonts w:ascii="Arial" w:eastAsia="Arial" w:hAnsi="Arial" w:cs="Arial"/>
          <w:sz w:val="22"/>
          <w:szCs w:val="22"/>
        </w:rPr>
        <w:t>24</w:t>
      </w:r>
      <w:r w:rsidR="0079500E">
        <w:rPr>
          <w:rFonts w:ascii="Arial" w:eastAsia="Arial" w:hAnsi="Arial" w:cs="Arial"/>
          <w:color w:val="000000"/>
          <w:sz w:val="22"/>
          <w:szCs w:val="22"/>
        </w:rPr>
        <w:t xml:space="preserve"> hodin v pracovní dny v případě fatální poruchy a do 48 hodin v případě střední poruchy. Mimo pracovní dny do </w:t>
      </w:r>
      <w:r w:rsidR="0079500E">
        <w:rPr>
          <w:rFonts w:ascii="Arial" w:eastAsia="Arial" w:hAnsi="Arial" w:cs="Arial"/>
          <w:sz w:val="22"/>
          <w:szCs w:val="22"/>
        </w:rPr>
        <w:t xml:space="preserve">48 hodin </w:t>
      </w:r>
      <w:r w:rsidR="0079500E">
        <w:rPr>
          <w:rFonts w:ascii="Arial" w:eastAsia="Arial" w:hAnsi="Arial" w:cs="Arial"/>
          <w:color w:val="000000"/>
          <w:sz w:val="22"/>
          <w:szCs w:val="22"/>
        </w:rPr>
        <w:t>v případě fatální poruchy a do 72 hodin v případě střední poruchy po obdržení oficiálního oznámení od Objednatele o vzniku reklamované vady</w:t>
      </w:r>
      <w:r>
        <w:rPr>
          <w:rFonts w:ascii="Arial" w:eastAsia="Arial" w:hAnsi="Arial" w:cs="Arial"/>
          <w:sz w:val="22"/>
          <w:szCs w:val="22"/>
        </w:rPr>
        <w:t>. Vady díla mohou být ohlášeny jedním z těchto prostředků:</w:t>
      </w:r>
    </w:p>
    <w:p w:rsidR="00CD0C34" w:rsidRDefault="00CD0C34" w:rsidP="00CD0C3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a/ na telefonickém kontaktu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CD0C34" w:rsidRDefault="00CD0C34" w:rsidP="00CD0C3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b/ na e-mailové adrese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CD0C34" w:rsidRDefault="00CD0C34" w:rsidP="00CD0C3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c/ na adrese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 ulice 28. října 3388/111, 702 00 Moravská Ostrava</w:t>
      </w:r>
    </w:p>
    <w:p w:rsidR="006B7560" w:rsidRDefault="000C411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:rsidR="006B7560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6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Sankční a další ujednání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.1 Zhotovitel se zavazuje upozornit včas a bez zbytečných odkladů informovat pověřenou osobu Objednatele o všech zjištěných skutečnostech, které mají vliv na činnost prováděnou Zhotovitelem nebo které znemožňují řádné plnění činnosti Zhotovitele.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6.2 V případě nedodržení jakéhokoliv dohodnutého termínu Zhotovitelem k jednotlivému případu se smluvní strany dohodly na smluvní pokutě ve výši 200 Kč za každý den prodlení., kterou je </w:t>
      </w:r>
      <w:r w:rsidR="0079500E">
        <w:rPr>
          <w:rFonts w:ascii="Arial" w:eastAsia="Arial" w:hAnsi="Arial" w:cs="Arial"/>
          <w:sz w:val="22"/>
          <w:szCs w:val="22"/>
        </w:rPr>
        <w:t xml:space="preserve">Objednatel </w:t>
      </w:r>
      <w:r>
        <w:rPr>
          <w:rFonts w:ascii="Arial" w:eastAsia="Arial" w:hAnsi="Arial" w:cs="Arial"/>
          <w:sz w:val="22"/>
          <w:szCs w:val="22"/>
        </w:rPr>
        <w:t xml:space="preserve">oprávněn požadovat po </w:t>
      </w:r>
      <w:r w:rsidR="0079500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hotoviteli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 tím, že nejvyšší částka takovéto smluvní pokuty nepřesáhne částku odpovídající 100% pořizovací ceny díla.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6.3 V případě, že Objednatel neumožní pracovníkům servisního pracoviště Zhotovitele zahájit servisní zásah v předem dohodnutém termínu, zaniká právo Objednatele na smluvní pokutu podle odst. 6.2 výše.</w:t>
      </w:r>
    </w:p>
    <w:p w:rsidR="006B7560" w:rsidRDefault="000C41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.4 Objednatel je oprávněn kontrolovat </w:t>
      </w:r>
      <w:r>
        <w:rPr>
          <w:rFonts w:ascii="Arial" w:eastAsia="Arial" w:hAnsi="Arial" w:cs="Arial"/>
          <w:sz w:val="22"/>
          <w:szCs w:val="22"/>
        </w:rPr>
        <w:t>servisní zásah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době jeho provádění a Zhotovitel je povinen mu umožnit přístup na pracoviště</w:t>
      </w:r>
      <w:r>
        <w:rPr>
          <w:rFonts w:ascii="Arial" w:eastAsia="Arial" w:hAnsi="Arial" w:cs="Arial"/>
          <w:sz w:val="22"/>
          <w:szCs w:val="22"/>
        </w:rPr>
        <w:t>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6.5 V případě že bude Objednatel v prodlení s úhradou svých peněžitých závazků, činí úrok z prodlení 0,05% z dlužné částky za každý den prodlení.</w:t>
      </w:r>
      <w:r>
        <w:rPr>
          <w:rFonts w:ascii="Arial" w:eastAsia="Arial" w:hAnsi="Arial" w:cs="Arial"/>
          <w:strike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 případě prodlení s úhradou peněžitých závazků, může být Objednatel elektronicky vyzván k neprodlenému zaplacení. </w:t>
      </w:r>
    </w:p>
    <w:p w:rsidR="00CD0C34" w:rsidRDefault="00CD0C34" w:rsidP="003927A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D0C34" w:rsidRDefault="00CD0C34" w:rsidP="003927A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B7560" w:rsidRDefault="000C4111" w:rsidP="003927A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7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7.1 Změnit nebo doplnit tuto smlouvu lze jen formou písemných dodatků, které budou vzestupně číslovány, výslovně prohlášeny za dodatek této smlouvy a podepsány oprávněnými zástupci obou smluvních stran.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.2 Sdělení budou zasílána na adresy pro korespondenci uvedené v článku 1 této smlouvy elektronickou poštou v souladu s platnou legislativou. Objednatel a Zhotovitel mohou běžné záležitosti, které nemají charakter oficiálního sdělení např. vyjasňování stanovisek, výměnu názorů apod. vyřizovat telefonicky.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.3 Tato smlouva je vyhotovena v českém jazyce ve dvou stejnopisech s platností originálu. Zhotovitel </w:t>
      </w:r>
      <w:r w:rsidR="0079500E">
        <w:rPr>
          <w:rFonts w:ascii="Arial" w:eastAsia="Arial" w:hAnsi="Arial" w:cs="Arial"/>
          <w:color w:val="000000"/>
          <w:sz w:val="22"/>
          <w:szCs w:val="22"/>
        </w:rPr>
        <w:t xml:space="preserve">a Objednatel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obdrží </w:t>
      </w:r>
      <w:r w:rsidR="0079500E">
        <w:rPr>
          <w:rFonts w:ascii="Arial" w:eastAsia="Arial" w:hAnsi="Arial" w:cs="Arial"/>
          <w:color w:val="000000"/>
          <w:sz w:val="22"/>
          <w:szCs w:val="22"/>
        </w:rPr>
        <w:t xml:space="preserve">po jednom </w:t>
      </w:r>
      <w:r>
        <w:rPr>
          <w:rFonts w:ascii="Arial" w:eastAsia="Arial" w:hAnsi="Arial" w:cs="Arial"/>
          <w:color w:val="000000"/>
          <w:sz w:val="22"/>
          <w:szCs w:val="22"/>
        </w:rPr>
        <w:t>stejnopis</w:t>
      </w:r>
      <w:r w:rsidR="0079500E">
        <w:rPr>
          <w:rFonts w:ascii="Arial" w:eastAsia="Arial" w:hAnsi="Arial" w:cs="Arial"/>
          <w:color w:val="000000"/>
          <w:sz w:val="22"/>
          <w:szCs w:val="22"/>
        </w:rPr>
        <w:t>u.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7.4 Smluvní</w:t>
      </w:r>
      <w:r>
        <w:rPr>
          <w:rFonts w:ascii="Arial" w:eastAsia="Arial" w:hAnsi="Arial" w:cs="Arial"/>
          <w:sz w:val="22"/>
          <w:szCs w:val="22"/>
        </w:rPr>
        <w:t xml:space="preserve"> strany shodně prohlašují, že si tuto smlouvu před jejím podepsáním přečetly, že byla uzavřena po vzájemném projednání podle jejich pravé a svobodné vůle, vážně, určitě, srozumitelně a dobrovolně, nikoliv v tísni nebo za nápadně nevýhodných podmínek a že se dohodly na celém jejím obsahu, což stvrzují svými podpisy.</w:t>
      </w:r>
    </w:p>
    <w:p w:rsidR="006B7560" w:rsidRDefault="006B756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8</w:t>
      </w:r>
    </w:p>
    <w:p w:rsidR="006B7560" w:rsidRDefault="000C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Platnost a účinnost smlouvy</w:t>
      </w:r>
    </w:p>
    <w:p w:rsidR="006B7560" w:rsidRDefault="000C4111" w:rsidP="003A1F67">
      <w:pPr>
        <w:spacing w:before="12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Smlouva nabývá platnosti </w:t>
      </w:r>
      <w:r w:rsidR="0079500E">
        <w:rPr>
          <w:rFonts w:ascii="Arial" w:eastAsia="Arial" w:hAnsi="Arial" w:cs="Arial"/>
          <w:sz w:val="22"/>
          <w:szCs w:val="22"/>
        </w:rPr>
        <w:t xml:space="preserve">a účinnosti </w:t>
      </w:r>
      <w:r>
        <w:rPr>
          <w:rFonts w:ascii="Arial" w:eastAsia="Arial" w:hAnsi="Arial" w:cs="Arial"/>
          <w:sz w:val="22"/>
          <w:szCs w:val="22"/>
        </w:rPr>
        <w:t>dnem jejího podpisu oprávněnými zástupci obou smluvních stran</w:t>
      </w:r>
      <w:r w:rsidR="00425434">
        <w:rPr>
          <w:rFonts w:ascii="Arial" w:eastAsia="Arial" w:hAnsi="Arial" w:cs="Arial"/>
          <w:sz w:val="22"/>
          <w:szCs w:val="22"/>
        </w:rPr>
        <w:t xml:space="preserve"> a uzavírá se na dobu 60 měsíců ode dne předání díla d</w:t>
      </w:r>
      <w:r w:rsidR="009D268D">
        <w:rPr>
          <w:rFonts w:ascii="Arial" w:eastAsia="Arial" w:hAnsi="Arial" w:cs="Arial"/>
          <w:sz w:val="22"/>
          <w:szCs w:val="22"/>
        </w:rPr>
        <w:t>l</w:t>
      </w:r>
      <w:r w:rsidR="00425434">
        <w:rPr>
          <w:rFonts w:ascii="Arial" w:eastAsia="Arial" w:hAnsi="Arial" w:cs="Arial"/>
          <w:sz w:val="22"/>
          <w:szCs w:val="22"/>
        </w:rPr>
        <w:t xml:space="preserve">e </w:t>
      </w:r>
      <w:r w:rsidR="009D268D">
        <w:rPr>
          <w:rFonts w:ascii="Arial" w:eastAsia="Arial" w:hAnsi="Arial" w:cs="Arial"/>
          <w:sz w:val="22"/>
          <w:szCs w:val="22"/>
        </w:rPr>
        <w:t>S</w:t>
      </w:r>
      <w:r w:rsidR="00425434">
        <w:rPr>
          <w:rFonts w:ascii="Arial" w:eastAsia="Arial" w:hAnsi="Arial" w:cs="Arial"/>
          <w:sz w:val="22"/>
          <w:szCs w:val="22"/>
        </w:rPr>
        <w:t>mlouvy o dílo uzavřené mezi smluvními stranami.</w:t>
      </w:r>
    </w:p>
    <w:tbl>
      <w:tblPr>
        <w:tblStyle w:val="a5"/>
        <w:tblW w:w="92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6B7560">
        <w:tc>
          <w:tcPr>
            <w:tcW w:w="4643" w:type="dxa"/>
          </w:tcPr>
          <w:p w:rsidR="006B7560" w:rsidRDefault="000C4111" w:rsidP="00EB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</w:t>
            </w:r>
            <w:r w:rsidR="0079500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Praze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dne:</w:t>
            </w:r>
            <w:r w:rsidR="00703962">
              <w:rPr>
                <w:rFonts w:ascii="Arial" w:eastAsia="Arial" w:hAnsi="Arial" w:cs="Arial"/>
                <w:sz w:val="22"/>
                <w:szCs w:val="22"/>
              </w:rPr>
              <w:t xml:space="preserve"> 04.08.2021</w:t>
            </w:r>
          </w:p>
        </w:tc>
        <w:tc>
          <w:tcPr>
            <w:tcW w:w="4644" w:type="dxa"/>
          </w:tcPr>
          <w:p w:rsidR="006B7560" w:rsidRDefault="000C4111" w:rsidP="003A1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 </w:t>
            </w:r>
            <w:r w:rsidR="003A1F67">
              <w:rPr>
                <w:rFonts w:ascii="Arial" w:eastAsia="Arial" w:hAnsi="Arial" w:cs="Arial"/>
                <w:color w:val="000000"/>
                <w:sz w:val="22"/>
                <w:szCs w:val="22"/>
              </w:rPr>
              <w:t>Novém Bydžově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dne:</w:t>
            </w:r>
            <w:r w:rsidR="00703962">
              <w:rPr>
                <w:rFonts w:ascii="Arial" w:eastAsia="Arial" w:hAnsi="Arial" w:cs="Arial"/>
                <w:sz w:val="22"/>
                <w:szCs w:val="22"/>
              </w:rPr>
              <w:t xml:space="preserve"> 28.07.2021</w:t>
            </w:r>
            <w:bookmarkStart w:id="0" w:name="_GoBack"/>
            <w:bookmarkEnd w:id="0"/>
          </w:p>
        </w:tc>
      </w:tr>
      <w:tr w:rsidR="006B7560">
        <w:tc>
          <w:tcPr>
            <w:tcW w:w="4643" w:type="dxa"/>
          </w:tcPr>
          <w:p w:rsidR="006B7560" w:rsidRDefault="006B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:rsidR="006B7560" w:rsidRDefault="006B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44" w:type="dxa"/>
          </w:tcPr>
          <w:p w:rsidR="006B7560" w:rsidRDefault="006B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B7560">
        <w:tc>
          <w:tcPr>
            <w:tcW w:w="4643" w:type="dxa"/>
          </w:tcPr>
          <w:p w:rsidR="006B7560" w:rsidRDefault="000C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...……</w:t>
            </w:r>
          </w:p>
        </w:tc>
        <w:tc>
          <w:tcPr>
            <w:tcW w:w="4644" w:type="dxa"/>
          </w:tcPr>
          <w:p w:rsidR="006B7560" w:rsidRDefault="000C4111">
            <w:pPr>
              <w:spacing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……………………………...……</w:t>
            </w:r>
          </w:p>
        </w:tc>
      </w:tr>
      <w:tr w:rsidR="006B7560">
        <w:tc>
          <w:tcPr>
            <w:tcW w:w="4643" w:type="dxa"/>
          </w:tcPr>
          <w:p w:rsidR="006B7560" w:rsidRDefault="000C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0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za </w:t>
            </w:r>
            <w:r w:rsidR="003A1F67">
              <w:rPr>
                <w:rFonts w:ascii="Arial" w:eastAsia="Arial" w:hAnsi="Arial" w:cs="Arial"/>
                <w:color w:val="000000"/>
                <w:sz w:val="22"/>
                <w:szCs w:val="22"/>
              </w:rPr>
              <w:t>Zhotovitele</w:t>
            </w:r>
          </w:p>
          <w:p w:rsidR="0079500E" w:rsidRDefault="000C4111" w:rsidP="00AA670B">
            <w:pPr>
              <w:spacing w:before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Ing. Jiří Matoušek, </w:t>
            </w:r>
            <w:r w:rsidR="003A1F67">
              <w:rPr>
                <w:rFonts w:ascii="Arial" w:eastAsia="Arial" w:hAnsi="Arial" w:cs="Arial"/>
                <w:sz w:val="22"/>
                <w:szCs w:val="22"/>
              </w:rPr>
              <w:t>jednatel</w:t>
            </w:r>
          </w:p>
          <w:p w:rsidR="006B7560" w:rsidRDefault="000C4111" w:rsidP="003A1F67">
            <w:pPr>
              <w:spacing w:before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</w:t>
            </w:r>
          </w:p>
        </w:tc>
        <w:tc>
          <w:tcPr>
            <w:tcW w:w="4644" w:type="dxa"/>
          </w:tcPr>
          <w:p w:rsidR="003A1F67" w:rsidRDefault="000C4111" w:rsidP="003A1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4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za </w:t>
            </w:r>
            <w:r w:rsidR="003A1F67">
              <w:rPr>
                <w:rFonts w:ascii="Arial" w:eastAsia="Arial" w:hAnsi="Arial" w:cs="Arial"/>
                <w:color w:val="000000"/>
                <w:sz w:val="22"/>
                <w:szCs w:val="22"/>
              </w:rPr>
              <w:t>Objednatele</w:t>
            </w:r>
          </w:p>
          <w:p w:rsidR="006B7560" w:rsidRDefault="000C4111" w:rsidP="003A1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44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Ing. </w:t>
            </w:r>
            <w:r w:rsidR="003A1F67">
              <w:rPr>
                <w:rFonts w:ascii="Arial" w:eastAsia="Arial" w:hAnsi="Arial" w:cs="Arial"/>
                <w:sz w:val="22"/>
                <w:szCs w:val="22"/>
              </w:rPr>
              <w:t>Pavel Louda, starosta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B7560" w:rsidRDefault="006B7560">
            <w:pPr>
              <w:tabs>
                <w:tab w:val="left" w:pos="5245"/>
              </w:tabs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B7560">
        <w:tc>
          <w:tcPr>
            <w:tcW w:w="4643" w:type="dxa"/>
          </w:tcPr>
          <w:p w:rsidR="006B7560" w:rsidRDefault="006B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0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</w:tcPr>
          <w:p w:rsidR="006B7560" w:rsidRDefault="006B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4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6B7560" w:rsidRDefault="006B756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6B7560">
      <w:headerReference w:type="default" r:id="rId9"/>
      <w:footerReference w:type="default" r:id="rId10"/>
      <w:headerReference w:type="first" r:id="rId11"/>
      <w:pgSz w:w="11907" w:h="16840"/>
      <w:pgMar w:top="1106" w:right="1418" w:bottom="1134" w:left="1418" w:header="425" w:footer="90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4FA" w:rsidRDefault="007C04FA">
      <w:r>
        <w:separator/>
      </w:r>
    </w:p>
  </w:endnote>
  <w:endnote w:type="continuationSeparator" w:id="0">
    <w:p w:rsidR="007C04FA" w:rsidRDefault="007C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60" w:rsidRDefault="000C41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/>
      <w:jc w:val="center"/>
      <w:rPr>
        <w:color w:val="000000"/>
      </w:rPr>
    </w:pPr>
    <w:r>
      <w:rPr>
        <w:i/>
        <w:color w:val="000000"/>
      </w:rPr>
      <w:t>----------------------------------------------------------------------------</w:t>
    </w:r>
  </w:p>
  <w:p w:rsidR="006B7560" w:rsidRDefault="000C41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i/>
      </w:rPr>
    </w:pPr>
    <w:r>
      <w:rPr>
        <w:i/>
        <w:color w:val="000000"/>
      </w:rPr>
      <w:t xml:space="preserve">Stránka </w:t>
    </w:r>
    <w:r>
      <w:rPr>
        <w:i/>
        <w:color w:val="000000"/>
      </w:rPr>
      <w:fldChar w:fldCharType="begin"/>
    </w:r>
    <w:r>
      <w:rPr>
        <w:i/>
        <w:color w:val="000000"/>
      </w:rPr>
      <w:instrText>PAGE</w:instrText>
    </w:r>
    <w:r>
      <w:rPr>
        <w:i/>
        <w:color w:val="000000"/>
      </w:rPr>
      <w:fldChar w:fldCharType="separate"/>
    </w:r>
    <w:r w:rsidR="00CD0C34">
      <w:rPr>
        <w:i/>
        <w:noProof/>
        <w:color w:val="000000"/>
      </w:rPr>
      <w:t>5</w:t>
    </w:r>
    <w:r>
      <w:rPr>
        <w:i/>
        <w:color w:val="000000"/>
      </w:rPr>
      <w:fldChar w:fldCharType="end"/>
    </w:r>
    <w:r>
      <w:rPr>
        <w:i/>
        <w:color w:val="000000"/>
      </w:rPr>
      <w:t xml:space="preserve"> z </w:t>
    </w:r>
    <w:r w:rsidR="00EB1EBE">
      <w:rPr>
        <w:i/>
        <w:color w:val="000000"/>
      </w:rPr>
      <w:t>5</w:t>
    </w:r>
  </w:p>
  <w:p w:rsidR="006B7560" w:rsidRDefault="006B7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4FA" w:rsidRDefault="007C04FA">
      <w:r>
        <w:separator/>
      </w:r>
    </w:p>
  </w:footnote>
  <w:footnote w:type="continuationSeparator" w:id="0">
    <w:p w:rsidR="007C04FA" w:rsidRDefault="007C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60" w:rsidRDefault="006B7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:rsidR="006B7560" w:rsidRDefault="006B7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60" w:rsidRDefault="006B75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4A0"/>
    <w:multiLevelType w:val="multilevel"/>
    <w:tmpl w:val="D124E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0"/>
    <w:rsid w:val="000C4111"/>
    <w:rsid w:val="001326A4"/>
    <w:rsid w:val="00161B30"/>
    <w:rsid w:val="001E77BC"/>
    <w:rsid w:val="002A0A60"/>
    <w:rsid w:val="002F1F85"/>
    <w:rsid w:val="002F62D6"/>
    <w:rsid w:val="00380458"/>
    <w:rsid w:val="003927A0"/>
    <w:rsid w:val="003A1F67"/>
    <w:rsid w:val="00425434"/>
    <w:rsid w:val="006B7560"/>
    <w:rsid w:val="00703962"/>
    <w:rsid w:val="0079500E"/>
    <w:rsid w:val="007A3845"/>
    <w:rsid w:val="007C04FA"/>
    <w:rsid w:val="009D268D"/>
    <w:rsid w:val="009E0F82"/>
    <w:rsid w:val="009F291D"/>
    <w:rsid w:val="00AA670B"/>
    <w:rsid w:val="00AB420C"/>
    <w:rsid w:val="00CD0C34"/>
    <w:rsid w:val="00D51ACC"/>
    <w:rsid w:val="00D67502"/>
    <w:rsid w:val="00DD677A"/>
    <w:rsid w:val="00E91620"/>
    <w:rsid w:val="00EB1EBE"/>
    <w:rsid w:val="00F05BE7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FB8F"/>
  <w15:docId w15:val="{A247EB33-138A-4FCD-AF62-5B3422DC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B0FC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3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3E14"/>
  </w:style>
  <w:style w:type="paragraph" w:styleId="Zpat">
    <w:name w:val="footer"/>
    <w:basedOn w:val="Normln"/>
    <w:link w:val="ZpatChar"/>
    <w:uiPriority w:val="99"/>
    <w:unhideWhenUsed/>
    <w:rsid w:val="00A73E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3E14"/>
  </w:style>
  <w:style w:type="paragraph" w:styleId="Textbubliny">
    <w:name w:val="Balloon Text"/>
    <w:basedOn w:val="Normln"/>
    <w:link w:val="TextbublinyChar"/>
    <w:uiPriority w:val="99"/>
    <w:semiHidden/>
    <w:unhideWhenUsed/>
    <w:rsid w:val="00FC48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8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22C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32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28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28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286"/>
    <w:rPr>
      <w:b/>
      <w:bCs/>
    </w:r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ver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ikHXH/0SN4govo2NzihGbJZAuA==">AMUW2mWEGu1rIUjP08Jr095c048YM/WCMmfD1AIHhqaBNRhLFf8DXDVB9nt65cIpE0PM7xX1TUlP4TmuiA4+rrM0bGZihRDIka2nLlM3aSFDNQLayLwJodBU7B0DyH2rNz5Mgw4kIna6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Libor, Ing.</dc:creator>
  <cp:lastModifiedBy>Schovánek, Filip</cp:lastModifiedBy>
  <cp:revision>3</cp:revision>
  <dcterms:created xsi:type="dcterms:W3CDTF">2021-08-26T07:37:00Z</dcterms:created>
  <dcterms:modified xsi:type="dcterms:W3CDTF">2021-08-26T07:39:00Z</dcterms:modified>
</cp:coreProperties>
</file>