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S M L O U V A  o zajištění uměleckého pořadu uzavřená mezi:</w:t>
      </w:r>
      <w:r>
        <w:rPr>
          <w:rFonts w:cs="Courier New" w:ascii="Courier New" w:hAnsi="Courier New"/>
          <w:sz w:val="20"/>
        </w:rPr>
        <w:t xml:space="preserve">     strana 1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1. Pořadatelem - odběratelem     a     2. Agenturou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Městské kulturní středisko            Agentura HARLEKÝN s.r.o.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Jaroměř                               Václav Hanzlíček, jednatel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Monika Brychová, ředitelka            Jarníkova 1875/14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nám.Dukelských hrdinů240              148 00 Praha 4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551 01 Jaroměř                        IČO: 27196631 DIČ: CZ27196631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IČO: 13585185 DIČ: CZ13585185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( dále jen pořadatel )                 ( dále jen agentura 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Vystavená v Praze dne: 14.08.2021     Číslo smlouvy: 83/21/6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I. Předmět smlouvy:</w:t>
      </w:r>
      <w:r>
        <w:rPr>
          <w:rFonts w:cs="Courier New" w:ascii="Courier New" w:hAnsi="Courier New"/>
          <w:sz w:val="20"/>
        </w:rPr>
        <w:t xml:space="preserve">  Uskutečnění pořadu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</w:t>
      </w:r>
      <w:r>
        <w:rPr>
          <w:rFonts w:cs="Courier New" w:ascii="Courier New" w:hAnsi="Courier New"/>
          <w:b/>
          <w:bCs/>
          <w:sz w:val="20"/>
        </w:rPr>
        <w:t xml:space="preserve">MILIONOVÝ ÚDRŽBÁŘ Eric Assous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 komedii hrají P.Nárožný, V.Freimanová, Z.Źáková / A.Kotlíková, A.Procházka /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V.Fridrich, R.Hájek / M.Zahálka ml., L.Zedníčková / Š.Křesťanová.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Režie A.Procházka.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Datum, hodina a misto konání: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 xml:space="preserve">16.09.2021    19.00   Městské divadlo / n.Dukelských hrdinů 24  JAROMĚŘ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II. Cena za pořad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Pořadatel uhradí po uskutečnění sjednaného představení na základě vystavené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faktury a ve lhůtě ve faktuře uvedené částku </w:t>
      </w:r>
      <w:r>
        <w:rPr>
          <w:rFonts w:cs="Courier New" w:ascii="Courier New" w:hAnsi="Courier New"/>
          <w:b/>
          <w:bCs/>
          <w:sz w:val="20"/>
        </w:rPr>
        <w:t>72600 Kč</w:t>
      </w:r>
      <w:r>
        <w:rPr>
          <w:rFonts w:cs="Courier New" w:ascii="Courier New" w:hAnsi="Courier New"/>
          <w:sz w:val="20"/>
        </w:rPr>
        <w:t xml:space="preserve"> (včetně DPH 21 %,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60000 Kč</w:t>
      </w:r>
      <w:r>
        <w:rPr>
          <w:rFonts w:cs="Courier New" w:ascii="Courier New" w:hAnsi="Courier New"/>
          <w:sz w:val="20"/>
        </w:rPr>
        <w:t xml:space="preserve"> bez DPH) na účet agentury.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Cena je za pořad. Pořadatel hradí autorské odměny z celkových hrubých tržeb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včetně předplatného 13% na Dilia z toho 5% za překlad a 8% neto autor + provize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Dilia 10% z netto autora, bankovní výlohy, DPH.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III. Součinnost pořadatele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Uskutečnění představení potvrdí pořadatel podpisem vedoucímu souboru.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Další ujednání: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Pořadatel dále uhradí na účet fakturu na částku 15000 Kč za provozní zajištění.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Pořadatel dále uhradí dopravu podle faktury dopravce 32 Kč/km hotově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Pořadatel zajistí tyto technické podmínky:</w:t>
      </w:r>
      <w:r>
        <w:rPr>
          <w:rFonts w:cs="Courier New" w:ascii="Courier New" w:hAnsi="Courier New"/>
          <w:sz w:val="20"/>
        </w:rPr>
        <w:t xml:space="preserve"> Světla na jeviště, horizont a boční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výkryty, v portále POJÍZDNÝ VĚŠÁK /pokud je/, LAMPIČKY k orientaci, STŮL na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rekvizity, stojanový VĚŠÁK, na jevišti 1x ŽIDLIČKA, </w:t>
      </w:r>
      <w:r>
        <w:rPr>
          <w:rFonts w:cs="Courier New" w:ascii="Courier New" w:hAnsi="Courier New"/>
          <w:b/>
          <w:bCs/>
          <w:sz w:val="20"/>
        </w:rPr>
        <w:t>REPROBEDÝNKA na odposlech.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sz w:val="20"/>
        </w:rPr>
        <w:t>MÍSTNÍ TECHNIKA /jeviště, pomoc při nošení scény, zvuk, světla/</w:t>
      </w:r>
      <w:r>
        <w:rPr>
          <w:rFonts w:cs="Courier New" w:ascii="Courier New" w:hAnsi="Courier New"/>
          <w:b/>
          <w:bCs/>
          <w:sz w:val="20"/>
        </w:rPr>
        <w:t xml:space="preserve"> cca 2,5 h před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začátkem představení</w:t>
      </w:r>
      <w:r>
        <w:rPr>
          <w:rFonts w:cs="Courier New" w:ascii="Courier New" w:hAnsi="Courier New"/>
          <w:sz w:val="20"/>
        </w:rPr>
        <w:t>, přehrávač na MINIDISK propojený na zesilovač+reprobedny,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ovládání světla a zvuku u sebe nebo pomoc místního technika, 2x ŠATNA /teplo/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s hygienickým vybavením.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Courier New" w:ascii="Courier New" w:hAnsi="Courier New"/>
          <w:b/>
          <w:bCs/>
          <w:sz w:val="20"/>
        </w:rPr>
        <w:t>Dopravce a technik agentury L.Loubal t.</w:t>
      </w:r>
      <w:r>
        <w:rPr>
          <w:rFonts w:eastAsia="" w:cs="Courier New" w:ascii="Courier New" w:hAnsi="Courier New" w:eastAsiaTheme="minorEastAsia"/>
          <w:b/>
          <w:bCs/>
          <w:color w:val="auto"/>
          <w:kern w:val="0"/>
          <w:sz w:val="20"/>
          <w:szCs w:val="22"/>
          <w:lang w:val="cs-CZ" w:eastAsia="cs-CZ" w:bidi="ar-SA"/>
        </w:rPr>
        <w:t>xxxxx</w:t>
      </w:r>
      <w:r>
        <w:rPr>
          <w:rFonts w:cs="Courier New" w:ascii="Courier New" w:hAnsi="Courier New"/>
          <w:sz w:val="20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bCs/>
          <w:sz w:val="20"/>
        </w:rPr>
        <w:t>Délka s přestávkou cca 2 hodiny</w:t>
      </w:r>
      <w:r>
        <w:rPr>
          <w:rFonts w:cs="Courier New" w:ascii="Courier New" w:hAnsi="Courier New"/>
          <w:sz w:val="20"/>
        </w:rPr>
        <w:t>.             4x volné přístavky pro agenturu.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IV. Závěrečná ustanovení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Smlouva má dvě strany a je vyhotovena ve dvou exemplářích, po jednom pro každou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smluvní stranu. Nedílnou součástí této smlouvy jsou 'všeobecné podmínky'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na straně 2, bod V. Pořadatel závazně potvrzuje svoji platební schopnost k úhradě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všech položek v uzavřené smlouvě a dodrží splatnost vystavené faktury. V případě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nedodržení termínu splatnosti faktury uhradí pořadatel agentuře navíc dohodnutou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smluvní pokutu ve výši 0.50 % z fakturované částky za každý den prodlení platby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Zaplacením smluvní pokuty nezaniká právo agentury domáhat se škody v plné výši.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Agentura Harlekýn s.r.o. bere na vědomí, že Smlouva může být po jejím podpisu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pořadatelem, zveřejněna v Registru smluv dle Zákona o registru smluv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č. 340/2015 Sb. Smluvní strany prohlašují, že skutečnosti uvedené v této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smlouvě nepovažují za obchodní tajemství a udělují svolení k jejich zpřístupnění.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Smluvní strany jsou si vědomy, že přebírají osobní údaje a potvrzují, že při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jejich ochraně se budou řídit Nařízením Evropského parlamentu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a Rady EU 2016/679 ze dne 27.4.2016.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Cs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>
        <w:rPr>
          <w:rFonts w:eastAsia="Times New Roman" w:cs="Arial" w:ascii="Arial" w:hAnsi="Arial"/>
          <w:sz w:val="18"/>
          <w:szCs w:val="20"/>
        </w:rPr>
        <w:t>strana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  <w:bCs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18"/>
          <w:szCs w:val="20"/>
        </w:rPr>
      </w:pPr>
      <w:r>
        <w:rPr>
          <w:rFonts w:eastAsia="Times New Roman" w:cs="Arial" w:ascii="Arial" w:hAnsi="Arial"/>
          <w:bCs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Platí od 1.1.2021 do odvolání pro všechny pořady Agentury Harlekýn </w:t>
      </w:r>
      <w:r>
        <w:rPr>
          <w:rFonts w:eastAsia="Times New Roman" w:cs="Arial" w:ascii="Arial" w:hAnsi="Arial"/>
          <w:color w:val="FF0000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3.  Pořadatel zajistí, aby představení bylo řádně připraveno po stránce společenské, technické, bezpečnostní a hygienické.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4.  Pořízení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  <w:bookmarkStart w:id="4" w:name="_Hlk2042520"/>
      <w:bookmarkEnd w:id="4"/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 xml:space="preserve">Agentura prohlašuje, že vypořádala autorská práva.  </w:t>
      </w:r>
      <w:bookmarkStart w:id="5" w:name="_Hlk2042639"/>
      <w:bookmarkEnd w:id="5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5. Bude-li smlouva vypovězena do 7 dnů před sjednaným vystoupením ze strany: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a) pořadatele, uhradí pořadatel Agentuře polovinu ze smluv</w:t>
        <w:softHyphen/>
        <w:t xml:space="preserve">ní částky,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 tomto případě polovinu vzniklých nákladů na představení.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Bude-li smlouva vypovězena ve lhůtě kratší jak 7 dnů před sjedna</w:t>
        <w:softHyphen/>
        <w:t xml:space="preserve">ným vystoupením ze strany: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smluvní částku v plné výši,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b) ze strany umělce-souboru, uhradí umělec-soubor pořadateli a Agentuře vzniklé náklady k představení.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Neuskuteční-li se sjednané vystoupení bez předchozího vypovězení smlouvy vinou: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celou smluvní částku za vystoupení /mimo důvody v bodě 6./,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vzniklé náklady k předsta</w:t>
        <w:softHyphen/>
        <w:t>vení /mimo důvody v bodě 6/.</w:t>
      </w:r>
      <w:bookmarkStart w:id="6" w:name="_Hlk2042758"/>
      <w:bookmarkEnd w:id="6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bCs/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</w:rPr>
        <w:t>Při propagaci pořadatel uvede AUTORA, PŘEKLADATELE, REŽISÉRA, produkce Agentura HARLEKÝN, HERECKÉ OBSAZENÍ.</w:t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highlight w:val="lightGray"/>
        </w:rPr>
      </w:pPr>
      <w:r>
        <w:rPr>
          <w:rFonts w:eastAsia="Times New Roman" w:cs="Arial" w:ascii="Arial" w:hAnsi="Arial"/>
          <w:sz w:val="16"/>
          <w:szCs w:val="16"/>
          <w:highlight w:val="lightGray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  <w:t xml:space="preserve">Doručovací adresa agentury (provozovna) Agentura HARLEKÝN s.r.o., Švehlova 546, 391 01 Sezimovo Ústí I.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18"/>
          <w:szCs w:val="18"/>
        </w:rPr>
        <w:t xml:space="preserve">- pokud možno zaslat jako obyčejný dopis  </w:t>
      </w:r>
      <w:r>
        <w:rPr>
          <w:rFonts w:eastAsia="Times New Roman" w:cs="Arial" w:ascii="Arial" w:hAnsi="Arial"/>
          <w:sz w:val="18"/>
          <w:szCs w:val="18"/>
        </w:rPr>
        <w:t xml:space="preserve">nebo zaslat e-mailem   na  </w:t>
      </w:r>
      <w:hyperlink r:id="rId2">
        <w:r>
          <w:rPr>
            <w:rFonts w:eastAsia="Times New Roman" w:cs="Arial" w:ascii="Arial" w:hAnsi="Arial"/>
            <w:b/>
            <w:color w:val="0000FF"/>
            <w:sz w:val="18"/>
            <w:szCs w:val="18"/>
            <w:u w:val="single"/>
          </w:rPr>
          <w:t>xxxxxxx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color w:val="000000"/>
          <w:sz w:val="18"/>
          <w:szCs w:val="20"/>
        </w:rPr>
        <w:t xml:space="preserve">  </w:t>
      </w:r>
      <w:r>
        <w:rPr>
          <w:rFonts w:eastAsia="Times New Roman" w:cs="Arial" w:ascii="Arial" w:hAnsi="Arial"/>
          <w:color w:val="000000"/>
          <w:sz w:val="18"/>
          <w:szCs w:val="20"/>
        </w:rPr>
        <w:t>Agentura HARLEKÝN s.r.o.</w:t>
      </w: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283" w:header="0" w:top="283" w:footer="0" w:bottom="283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hanzlicek@harlekyn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LibreOffice/6.3.4.2$Windows_X86_64 LibreOffice_project/60da17e045e08f1793c57c00ba83cdfce946d0aa</Application>
  <Pages>2</Pages>
  <Words>994</Words>
  <Characters>5978</Characters>
  <CharactersWithSpaces>7749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2021-08-14T03:40:00Z</dcterms:created>
  <dc:creator>Uzivatel</dc:creator>
  <dc:description/>
  <dc:language>cs-CZ</dc:language>
  <cp:lastModifiedBy/>
  <dcterms:modified xsi:type="dcterms:W3CDTF">2021-08-25T09:33:42Z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