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 </w:t>
      </w:r>
      <w:r w:rsidR="000204CA">
        <w:rPr>
          <w:rFonts w:ascii="Arial" w:hAnsi="Arial"/>
          <w:sz w:val="24"/>
        </w:rPr>
        <w:t>21-02-</w:t>
      </w:r>
      <w:r w:rsidR="00894058">
        <w:rPr>
          <w:rFonts w:ascii="Arial" w:hAnsi="Arial"/>
          <w:sz w:val="24"/>
        </w:rPr>
        <w:t>05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894058" w:rsidRDefault="00D72543" w:rsidP="00894058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="00894058">
        <w:rPr>
          <w:rFonts w:ascii="Arial" w:hAnsi="Arial"/>
          <w:b/>
          <w:lang w:val="en-US"/>
        </w:rPr>
        <w:t>TJ Sokol BC RSC Brno-Tuřany, z.s.</w:t>
      </w:r>
    </w:p>
    <w:p w:rsidR="00894058" w:rsidRDefault="00894058" w:rsidP="00894058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Pr="004461D5">
        <w:rPr>
          <w:rFonts w:ascii="Arial" w:hAnsi="Arial"/>
          <w:lang w:val="en-US"/>
        </w:rPr>
        <w:t xml:space="preserve">Hanácká </w:t>
      </w:r>
      <w:r>
        <w:rPr>
          <w:rFonts w:ascii="Arial" w:hAnsi="Arial"/>
          <w:lang w:val="en-US"/>
        </w:rPr>
        <w:t>448/38, 620 00 Brno</w:t>
      </w:r>
    </w:p>
    <w:p w:rsidR="00894058" w:rsidRDefault="00894058" w:rsidP="00894058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zastoupený Ing. Stanislavem Jelínkem</w:t>
      </w:r>
    </w:p>
    <w:p w:rsidR="00894058" w:rsidRDefault="00894058" w:rsidP="00894058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:rsidR="00894058" w:rsidRPr="004461D5" w:rsidRDefault="00894058" w:rsidP="00894058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č.ú.: 2027045339/0800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 w:rsidRPr="0032375E">
        <w:rPr>
          <w:rFonts w:ascii="Arial" w:hAnsi="Arial" w:cs="Arial"/>
        </w:rPr>
        <w:tab/>
      </w:r>
      <w:r w:rsidRPr="0032375E">
        <w:rPr>
          <w:rFonts w:ascii="Arial" w:hAnsi="Arial" w:cs="Arial"/>
        </w:rPr>
        <w:tab/>
      </w:r>
    </w:p>
    <w:p w:rsidR="00894058" w:rsidRDefault="00894058" w:rsidP="005C6715">
      <w:pPr>
        <w:tabs>
          <w:tab w:val="left" w:pos="0"/>
        </w:tabs>
        <w:rPr>
          <w:rFonts w:ascii="Arial" w:hAnsi="Arial" w:cs="Arial"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32375E" w:rsidRDefault="0032375E">
      <w:pPr>
        <w:pStyle w:val="Zkladntext"/>
        <w:rPr>
          <w:rFonts w:ascii="Arial" w:hAnsi="Arial"/>
          <w:sz w:val="20"/>
        </w:rPr>
      </w:pPr>
    </w:p>
    <w:p w:rsidR="00894058" w:rsidRDefault="00894058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894058" w:rsidRPr="00F60BDA" w:rsidRDefault="00894058" w:rsidP="00386AEA">
      <w:pPr>
        <w:pStyle w:val="Odstavecseseznamem"/>
        <w:ind w:left="510"/>
        <w:jc w:val="both"/>
        <w:rPr>
          <w:rFonts w:ascii="Arial" w:hAnsi="Arial"/>
          <w:b/>
        </w:rPr>
      </w:pPr>
      <w:bookmarkStart w:id="0" w:name="_GoBack"/>
      <w:bookmarkEnd w:id="0"/>
      <w:r w:rsidRPr="00F60BDA">
        <w:rPr>
          <w:rFonts w:ascii="Arial" w:hAnsi="Arial"/>
          <w:b/>
        </w:rPr>
        <w:t>sportovní činnost – badmintonové tréninky a zápasy</w:t>
      </w:r>
    </w:p>
    <w:p w:rsidR="0032375E" w:rsidRDefault="0032375E">
      <w:pPr>
        <w:pStyle w:val="Zkladntext2"/>
        <w:rPr>
          <w:rFonts w:ascii="Arial" w:hAnsi="Arial"/>
          <w:sz w:val="20"/>
        </w:rPr>
      </w:pPr>
    </w:p>
    <w:p w:rsidR="00894058" w:rsidRDefault="00894058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894058" w:rsidRPr="00894058" w:rsidRDefault="00BB2827" w:rsidP="00894058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894058" w:rsidRPr="0067189E" w:rsidTr="00471A90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894058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4058" w:rsidRPr="0067189E" w:rsidTr="00471A90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894058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058" w:rsidRPr="0067189E" w:rsidRDefault="00894058" w:rsidP="00471A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94058" w:rsidRDefault="00894058" w:rsidP="00894058">
      <w:pPr>
        <w:ind w:left="450"/>
        <w:jc w:val="both"/>
        <w:rPr>
          <w:rFonts w:ascii="Arial" w:hAnsi="Arial" w:cs="Arial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894058" w:rsidRDefault="00894058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EC663D" w:rsidRDefault="00EC663D" w:rsidP="00EC663D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 nedohodnou-li se smluvní strany jinak,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2E3A9A" w:rsidRDefault="002E3A9A" w:rsidP="00BB2827">
      <w:pPr>
        <w:pStyle w:val="Zkladntext"/>
        <w:rPr>
          <w:rFonts w:ascii="Arial" w:hAnsi="Arial"/>
          <w:b/>
          <w:sz w:val="20"/>
        </w:rPr>
      </w:pPr>
    </w:p>
    <w:p w:rsidR="00894058" w:rsidRDefault="00894058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lastRenderedPageBreak/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894058" w:rsidRDefault="00894058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</w:t>
      </w:r>
      <w:r w:rsidR="00B55FC4">
        <w:rPr>
          <w:rFonts w:ascii="Arial" w:hAnsi="Arial"/>
          <w:sz w:val="20"/>
        </w:rPr>
        <w:t>8</w:t>
      </w:r>
      <w:r w:rsidR="00E51E14" w:rsidRPr="002C12B0">
        <w:rPr>
          <w:rFonts w:ascii="Arial" w:hAnsi="Arial"/>
          <w:sz w:val="20"/>
        </w:rPr>
        <w:t>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32375E" w:rsidRDefault="0032375E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894058" w:rsidRPr="002C12B0" w:rsidRDefault="00894058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t>Doložka</w:t>
      </w:r>
    </w:p>
    <w:p w:rsidR="00F21344" w:rsidRDefault="00F21344" w:rsidP="00F21344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F21344" w:rsidRDefault="00F21344" w:rsidP="00F21344">
      <w:pPr>
        <w:pStyle w:val="Zkladntext"/>
        <w:ind w:firstLine="708"/>
        <w:rPr>
          <w:rFonts w:ascii="Arial" w:hAnsi="Arial"/>
          <w:sz w:val="20"/>
        </w:rPr>
      </w:pPr>
      <w:r w:rsidRPr="000204CA">
        <w:rPr>
          <w:rFonts w:ascii="Arial" w:hAnsi="Arial"/>
          <w:sz w:val="20"/>
        </w:rPr>
        <w:t xml:space="preserve">Vzorová nájemní smlouva byla schválena na </w:t>
      </w:r>
      <w:r w:rsidR="000204CA" w:rsidRPr="000204CA">
        <w:rPr>
          <w:rFonts w:ascii="Arial" w:hAnsi="Arial"/>
          <w:sz w:val="20"/>
        </w:rPr>
        <w:t>69</w:t>
      </w:r>
      <w:r w:rsidRPr="000204CA">
        <w:rPr>
          <w:rFonts w:ascii="Arial" w:hAnsi="Arial"/>
          <w:sz w:val="20"/>
        </w:rPr>
        <w:t>/VI</w:t>
      </w:r>
      <w:r w:rsidR="004279D9" w:rsidRPr="000204CA">
        <w:rPr>
          <w:rFonts w:ascii="Arial" w:hAnsi="Arial"/>
          <w:sz w:val="20"/>
        </w:rPr>
        <w:t>I</w:t>
      </w:r>
      <w:r w:rsidRPr="000204CA">
        <w:rPr>
          <w:rFonts w:ascii="Arial" w:hAnsi="Arial"/>
          <w:sz w:val="20"/>
        </w:rPr>
        <w:t xml:space="preserve">I. schůzi Rady městské části Brno-Tuřany konané dne </w:t>
      </w:r>
      <w:r w:rsidR="000204CA" w:rsidRPr="000204CA">
        <w:rPr>
          <w:rFonts w:ascii="Arial" w:hAnsi="Arial"/>
          <w:sz w:val="20"/>
        </w:rPr>
        <w:t>17</w:t>
      </w:r>
      <w:r w:rsidRPr="000204CA">
        <w:rPr>
          <w:rFonts w:ascii="Arial" w:hAnsi="Arial"/>
          <w:sz w:val="20"/>
        </w:rPr>
        <w:t xml:space="preserve">. </w:t>
      </w:r>
      <w:r w:rsidR="000204CA" w:rsidRPr="000204CA">
        <w:rPr>
          <w:rFonts w:ascii="Arial" w:hAnsi="Arial"/>
          <w:sz w:val="20"/>
        </w:rPr>
        <w:t>5</w:t>
      </w:r>
      <w:r w:rsidRPr="000204CA">
        <w:rPr>
          <w:rFonts w:ascii="Arial" w:hAnsi="Arial"/>
          <w:sz w:val="20"/>
        </w:rPr>
        <w:t>. 20</w:t>
      </w:r>
      <w:r w:rsidR="004279D9" w:rsidRPr="000204CA">
        <w:rPr>
          <w:rFonts w:ascii="Arial" w:hAnsi="Arial"/>
          <w:sz w:val="20"/>
        </w:rPr>
        <w:t>2</w:t>
      </w:r>
      <w:r w:rsidR="00BB1A26" w:rsidRPr="000204CA">
        <w:rPr>
          <w:rFonts w:ascii="Arial" w:hAnsi="Arial"/>
          <w:sz w:val="20"/>
        </w:rPr>
        <w:t>1</w:t>
      </w:r>
      <w:r w:rsidRPr="000204CA">
        <w:rPr>
          <w:rFonts w:ascii="Arial" w:hAnsi="Arial"/>
          <w:sz w:val="20"/>
        </w:rPr>
        <w:t xml:space="preserve">, a to včetně pověření starosty uzavřením smluv, vč. dodatků. </w:t>
      </w:r>
    </w:p>
    <w:p w:rsidR="00EC663D" w:rsidRPr="002043E9" w:rsidRDefault="00EC663D" w:rsidP="00EC663D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19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EC663D" w:rsidRPr="000204CA" w:rsidRDefault="00EC663D" w:rsidP="00F21344">
      <w:pPr>
        <w:pStyle w:val="Zkladntext"/>
        <w:ind w:firstLine="708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33" w:rsidRDefault="00786D33">
      <w:r>
        <w:separator/>
      </w:r>
    </w:p>
  </w:endnote>
  <w:endnote w:type="continuationSeparator" w:id="0">
    <w:p w:rsidR="00786D33" w:rsidRDefault="0078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33" w:rsidRDefault="00786D33">
      <w:r>
        <w:separator/>
      </w:r>
    </w:p>
  </w:footnote>
  <w:footnote w:type="continuationSeparator" w:id="0">
    <w:p w:rsidR="00786D33" w:rsidRDefault="0078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204CA"/>
    <w:rsid w:val="00041BA9"/>
    <w:rsid w:val="00057BA2"/>
    <w:rsid w:val="000607C6"/>
    <w:rsid w:val="00081E27"/>
    <w:rsid w:val="000843BF"/>
    <w:rsid w:val="000A03DF"/>
    <w:rsid w:val="000A7AE2"/>
    <w:rsid w:val="000E359C"/>
    <w:rsid w:val="000E3AFF"/>
    <w:rsid w:val="000F2999"/>
    <w:rsid w:val="00100A2A"/>
    <w:rsid w:val="00100F66"/>
    <w:rsid w:val="00101E95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C793E"/>
    <w:rsid w:val="001D6F5D"/>
    <w:rsid w:val="001F6915"/>
    <w:rsid w:val="0022028D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3A9A"/>
    <w:rsid w:val="002E51E4"/>
    <w:rsid w:val="002F231D"/>
    <w:rsid w:val="002F409F"/>
    <w:rsid w:val="002F526A"/>
    <w:rsid w:val="0032375E"/>
    <w:rsid w:val="00332BFE"/>
    <w:rsid w:val="00342D5A"/>
    <w:rsid w:val="003637E5"/>
    <w:rsid w:val="00386AEA"/>
    <w:rsid w:val="003A7919"/>
    <w:rsid w:val="003E3C0D"/>
    <w:rsid w:val="004279D9"/>
    <w:rsid w:val="0043027E"/>
    <w:rsid w:val="0043294F"/>
    <w:rsid w:val="00432987"/>
    <w:rsid w:val="00442E15"/>
    <w:rsid w:val="00453C35"/>
    <w:rsid w:val="00466A9C"/>
    <w:rsid w:val="00493EC3"/>
    <w:rsid w:val="00497F88"/>
    <w:rsid w:val="004E141A"/>
    <w:rsid w:val="00551B7B"/>
    <w:rsid w:val="00572B29"/>
    <w:rsid w:val="005730A1"/>
    <w:rsid w:val="005C6715"/>
    <w:rsid w:val="005D25BA"/>
    <w:rsid w:val="005E02DE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7FB0"/>
    <w:rsid w:val="007400D5"/>
    <w:rsid w:val="007429D4"/>
    <w:rsid w:val="007640F4"/>
    <w:rsid w:val="007861AB"/>
    <w:rsid w:val="00786D33"/>
    <w:rsid w:val="007B57AA"/>
    <w:rsid w:val="007C2112"/>
    <w:rsid w:val="007D02D8"/>
    <w:rsid w:val="00815A6D"/>
    <w:rsid w:val="0082027C"/>
    <w:rsid w:val="00847296"/>
    <w:rsid w:val="00894058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5733"/>
    <w:rsid w:val="00AF6EF4"/>
    <w:rsid w:val="00B2434F"/>
    <w:rsid w:val="00B25D2C"/>
    <w:rsid w:val="00B408FC"/>
    <w:rsid w:val="00B55CE2"/>
    <w:rsid w:val="00B55FC4"/>
    <w:rsid w:val="00B619DB"/>
    <w:rsid w:val="00B711A9"/>
    <w:rsid w:val="00BA25B5"/>
    <w:rsid w:val="00BB1A26"/>
    <w:rsid w:val="00BB2827"/>
    <w:rsid w:val="00BB3371"/>
    <w:rsid w:val="00BC3B49"/>
    <w:rsid w:val="00BC4623"/>
    <w:rsid w:val="00BD3F2A"/>
    <w:rsid w:val="00BD7EE5"/>
    <w:rsid w:val="00C05F63"/>
    <w:rsid w:val="00C26221"/>
    <w:rsid w:val="00C346B0"/>
    <w:rsid w:val="00C653C8"/>
    <w:rsid w:val="00C77297"/>
    <w:rsid w:val="00C86A68"/>
    <w:rsid w:val="00C97926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742D0"/>
    <w:rsid w:val="00E87ADF"/>
    <w:rsid w:val="00E9280E"/>
    <w:rsid w:val="00EA2F2E"/>
    <w:rsid w:val="00EA63B8"/>
    <w:rsid w:val="00EB49E9"/>
    <w:rsid w:val="00EC663D"/>
    <w:rsid w:val="00ED156C"/>
    <w:rsid w:val="00ED6C67"/>
    <w:rsid w:val="00EE2237"/>
    <w:rsid w:val="00F21344"/>
    <w:rsid w:val="00F312A3"/>
    <w:rsid w:val="00F35E56"/>
    <w:rsid w:val="00F40A32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37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EC663D"/>
  </w:style>
  <w:style w:type="character" w:customStyle="1" w:styleId="Nadpis3Char">
    <w:name w:val="Nadpis 3 Char"/>
    <w:basedOn w:val="Standardnpsmoodstavce"/>
    <w:link w:val="Nadpis3"/>
    <w:semiHidden/>
    <w:rsid w:val="003237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5</cp:revision>
  <cp:lastPrinted>2021-08-16T12:50:00Z</cp:lastPrinted>
  <dcterms:created xsi:type="dcterms:W3CDTF">2021-08-16T12:42:00Z</dcterms:created>
  <dcterms:modified xsi:type="dcterms:W3CDTF">2021-08-16T12:50:00Z</dcterms:modified>
</cp:coreProperties>
</file>