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74" w:rsidRDefault="00F7503B">
      <w:pPr>
        <w:spacing w:before="73"/>
        <w:ind w:left="1282" w:right="1009"/>
        <w:jc w:val="center"/>
        <w:rPr>
          <w:sz w:val="32"/>
        </w:rPr>
      </w:pPr>
      <w:r>
        <w:rPr>
          <w:color w:val="808080"/>
          <w:sz w:val="32"/>
        </w:rPr>
        <w:t>Smlouva č. 1200600055</w:t>
      </w:r>
    </w:p>
    <w:p w:rsidR="00471874" w:rsidRDefault="00F7503B">
      <w:pPr>
        <w:spacing w:before="2" w:line="425" w:lineRule="exact"/>
        <w:ind w:left="128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471874" w:rsidRDefault="00F7503B">
      <w:pPr>
        <w:spacing w:line="425" w:lineRule="exact"/>
        <w:ind w:left="128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471874" w:rsidRDefault="00471874">
      <w:pPr>
        <w:pStyle w:val="Zkladntext"/>
        <w:ind w:left="0"/>
        <w:jc w:val="left"/>
        <w:rPr>
          <w:sz w:val="60"/>
        </w:rPr>
      </w:pPr>
    </w:p>
    <w:p w:rsidR="00471874" w:rsidRDefault="00F7503B">
      <w:pPr>
        <w:pStyle w:val="Zkladntext"/>
        <w:ind w:left="382"/>
        <w:jc w:val="left"/>
      </w:pPr>
      <w:r>
        <w:t>Smluvní strany</w:t>
      </w:r>
    </w:p>
    <w:p w:rsidR="00471874" w:rsidRDefault="00471874">
      <w:pPr>
        <w:pStyle w:val="Zkladntext"/>
        <w:spacing w:before="1"/>
        <w:ind w:left="0"/>
        <w:jc w:val="left"/>
      </w:pPr>
    </w:p>
    <w:p w:rsidR="00471874" w:rsidRDefault="00F7503B">
      <w:pPr>
        <w:pStyle w:val="Nadpis1"/>
        <w:spacing w:line="265" w:lineRule="exact"/>
        <w:ind w:left="382"/>
        <w:jc w:val="left"/>
      </w:pPr>
      <w:r>
        <w:t>Státní fond životního prostředí České republiky</w:t>
      </w:r>
    </w:p>
    <w:p w:rsidR="00471874" w:rsidRDefault="00F7503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471874" w:rsidRDefault="00F7503B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471874" w:rsidRDefault="00F7503B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471874" w:rsidRDefault="00F7503B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471874" w:rsidRDefault="00F7503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471874" w:rsidRDefault="00F7503B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71874" w:rsidRDefault="00F7503B">
      <w:pPr>
        <w:pStyle w:val="Zkladntext"/>
        <w:spacing w:line="480" w:lineRule="auto"/>
        <w:ind w:left="382" w:right="7967"/>
        <w:jc w:val="left"/>
      </w:pPr>
      <w:r>
        <w:t>(dále jen „Fond") a</w:t>
      </w:r>
    </w:p>
    <w:p w:rsidR="00471874" w:rsidRDefault="00F7503B">
      <w:pPr>
        <w:pStyle w:val="Nadpis1"/>
        <w:spacing w:before="1"/>
        <w:ind w:left="382"/>
        <w:jc w:val="left"/>
      </w:pPr>
      <w:r>
        <w:t>obec Rohatec</w:t>
      </w:r>
    </w:p>
    <w:p w:rsidR="00471874" w:rsidRDefault="00F7503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Rohatec, Květná 359/1, 696 01</w:t>
      </w:r>
      <w:r>
        <w:rPr>
          <w:spacing w:val="-3"/>
        </w:rPr>
        <w:t xml:space="preserve"> </w:t>
      </w:r>
      <w:r>
        <w:t>Rohatec</w:t>
      </w:r>
    </w:p>
    <w:p w:rsidR="00471874" w:rsidRDefault="00F7503B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00488526</w:t>
      </w:r>
    </w:p>
    <w:p w:rsidR="00471874" w:rsidRDefault="00F7503B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1"/>
        </w:rPr>
        <w:t xml:space="preserve"> </w:t>
      </w:r>
      <w:r>
        <w:t>Jarmilem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rPr>
          <w:spacing w:val="19"/>
        </w:rPr>
        <w:t>em</w:t>
      </w:r>
      <w:r>
        <w:rPr>
          <w:spacing w:val="-1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Ph.D., starostou</w:t>
      </w:r>
    </w:p>
    <w:p w:rsidR="00471874" w:rsidRDefault="00F7503B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4841ED" w:rsidRPr="004841ED">
        <w:rPr>
          <w:highlight w:val="yellow"/>
        </w:rPr>
        <w:t>xxxx</w:t>
      </w:r>
    </w:p>
    <w:p w:rsidR="00471874" w:rsidRDefault="00F7503B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841ED" w:rsidRPr="004841ED">
        <w:rPr>
          <w:highlight w:val="yellow"/>
        </w:rPr>
        <w:t>xxxx</w:t>
      </w:r>
      <w:bookmarkStart w:id="0" w:name="_GoBack"/>
      <w:bookmarkEnd w:id="0"/>
    </w:p>
    <w:p w:rsidR="00471874" w:rsidRDefault="00F7503B">
      <w:pPr>
        <w:pStyle w:val="Zkladntext"/>
        <w:spacing w:before="1"/>
        <w:ind w:left="382"/>
        <w:jc w:val="left"/>
      </w:pPr>
      <w:r>
        <w:t>(dále jen „příjemce podpory")</w:t>
      </w:r>
    </w:p>
    <w:p w:rsidR="00471874" w:rsidRDefault="00471874">
      <w:pPr>
        <w:pStyle w:val="Zkladntext"/>
        <w:spacing w:before="1"/>
        <w:ind w:left="0"/>
        <w:jc w:val="left"/>
      </w:pPr>
    </w:p>
    <w:p w:rsidR="00471874" w:rsidRDefault="00F7503B">
      <w:pPr>
        <w:pStyle w:val="Zkladntext"/>
        <w:ind w:left="382"/>
        <w:jc w:val="left"/>
      </w:pPr>
      <w:r>
        <w:t>se dohodly takto:</w:t>
      </w:r>
    </w:p>
    <w:p w:rsidR="00471874" w:rsidRDefault="00471874">
      <w:pPr>
        <w:pStyle w:val="Zkladntext"/>
        <w:spacing w:before="12"/>
        <w:ind w:left="0"/>
        <w:jc w:val="left"/>
        <w:rPr>
          <w:sz w:val="35"/>
        </w:rPr>
      </w:pPr>
    </w:p>
    <w:p w:rsidR="00471874" w:rsidRDefault="00F7503B">
      <w:pPr>
        <w:pStyle w:val="Nadpis1"/>
        <w:ind w:right="1014"/>
      </w:pPr>
      <w:r>
        <w:t>I.</w:t>
      </w:r>
    </w:p>
    <w:p w:rsidR="00471874" w:rsidRDefault="00F7503B">
      <w:pPr>
        <w:spacing w:before="1"/>
        <w:ind w:left="128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471874" w:rsidRDefault="00471874">
      <w:pPr>
        <w:pStyle w:val="Zkladntext"/>
        <w:spacing w:before="1"/>
        <w:ind w:left="0"/>
        <w:jc w:val="left"/>
        <w:rPr>
          <w:b/>
          <w:sz w:val="18"/>
        </w:rPr>
      </w:pPr>
    </w:p>
    <w:p w:rsidR="00471874" w:rsidRDefault="00F7503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71874" w:rsidRDefault="00F7503B">
      <w:pPr>
        <w:pStyle w:val="Zkladntext"/>
        <w:ind w:right="110"/>
      </w:pPr>
      <w:r>
        <w:t xml:space="preserve">„Smlouva“) se uzavírá na základě Rozhodnutí ministra životního prostředí č. 1200600055 o poskytnutí finančních prostředků ze Státního </w:t>
      </w:r>
      <w:r>
        <w:t>fondu životního prostředí ČR ze dne 24. 5. 2021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471874" w:rsidRDefault="00F7503B">
      <w:pPr>
        <w:pStyle w:val="Zkladntext"/>
        <w:spacing w:line="265" w:lineRule="exact"/>
      </w:pPr>
      <w:r>
        <w:t>„</w:t>
      </w:r>
      <w:r>
        <w:t>Směrnice MŽP“), platné ke dni podání žádosti.</w:t>
      </w:r>
    </w:p>
    <w:p w:rsidR="00471874" w:rsidRDefault="00F7503B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6/2020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2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71874" w:rsidRDefault="00471874">
      <w:pPr>
        <w:jc w:val="both"/>
        <w:rPr>
          <w:sz w:val="20"/>
        </w:rPr>
        <w:sectPr w:rsidR="00471874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471874" w:rsidRDefault="00F7503B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471874" w:rsidRDefault="00F7503B">
      <w:pPr>
        <w:pStyle w:val="Nadpis1"/>
        <w:spacing w:before="120"/>
        <w:ind w:left="2775"/>
        <w:jc w:val="left"/>
      </w:pPr>
      <w:r>
        <w:t>„PP_Revitalizace slepého ramene v obci Rohatec“</w:t>
      </w:r>
    </w:p>
    <w:p w:rsidR="00471874" w:rsidRDefault="00F7503B">
      <w:pPr>
        <w:pStyle w:val="Zkladntext"/>
        <w:spacing w:before="121"/>
        <w:jc w:val="left"/>
      </w:pPr>
      <w:r>
        <w:t>(dále jen „projekt“ nebo „akce“) realizovanou v letech 2021 až 2022. Akce je investiční.</w:t>
      </w:r>
    </w:p>
    <w:p w:rsidR="00471874" w:rsidRDefault="00471874">
      <w:pPr>
        <w:pStyle w:val="Zkladntext"/>
        <w:spacing w:before="1"/>
        <w:ind w:left="0"/>
        <w:jc w:val="left"/>
        <w:rPr>
          <w:sz w:val="36"/>
        </w:rPr>
      </w:pPr>
    </w:p>
    <w:p w:rsidR="00471874" w:rsidRDefault="00F7503B">
      <w:pPr>
        <w:pStyle w:val="Nadpis1"/>
        <w:ind w:right="1014"/>
      </w:pPr>
      <w:r>
        <w:t>II.</w:t>
      </w:r>
    </w:p>
    <w:p w:rsidR="00471874" w:rsidRDefault="00F7503B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471874" w:rsidRDefault="00471874">
      <w:pPr>
        <w:pStyle w:val="Zkladntext"/>
        <w:spacing w:before="1"/>
        <w:ind w:left="0"/>
        <w:jc w:val="left"/>
        <w:rPr>
          <w:b/>
          <w:sz w:val="18"/>
        </w:rPr>
      </w:pP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852 578,10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471874" w:rsidRDefault="00F7503B">
      <w:pPr>
        <w:pStyle w:val="Zkladntext"/>
        <w:spacing w:line="265" w:lineRule="exact"/>
      </w:pPr>
      <w:r>
        <w:t>osm set padesát dva tisíc pět set sedmdesát osm korun českých, deset haléřů).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947 309,00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</w:t>
      </w:r>
      <w:r>
        <w:rPr>
          <w:sz w:val="20"/>
        </w:rPr>
        <w:t>uje max. 90,00 % základu pro stanovení podpory, tj. z celkových způsobilých výdajů podle bodu 2 a současně nejvýše 4 % z předpokládaných nákladů na realizaci opatření</w:t>
      </w:r>
      <w:r>
        <w:rPr>
          <w:spacing w:val="-13"/>
          <w:sz w:val="20"/>
        </w:rPr>
        <w:t xml:space="preserve"> </w:t>
      </w:r>
      <w:r>
        <w:rPr>
          <w:sz w:val="20"/>
        </w:rPr>
        <w:t>OPŽP.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ind w:right="1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5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 výdajů na projektovou přípravu a podle investičních nákladů na realizaci opatření podle uzavřené smlouvy o dílo. Pokud zálohově poskytnutá podpora dle bodu 1 po provedení vyúčtování převyšuje skutečně</w:t>
      </w:r>
      <w:r>
        <w:rPr>
          <w:spacing w:val="-13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</w:t>
      </w:r>
      <w:r>
        <w:rPr>
          <w:sz w:val="20"/>
        </w:rPr>
        <w:t>ní,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rozdíl vrátit do 30 dnů od obdržení výzvy na bankovní účet Fondu uvedený v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Zálohově poskytnutá podpora bude v souladu s vyhláškou č. 323/2002  Sb.,  o rozpočtové skladbě,     ve znění pozdějších předpisů, proplacena dle převažujícího typu investičních nebo neinvestičních způsobilých výdajů, uvedených v rozpočtu projektu v Agendov</w:t>
      </w:r>
      <w:r>
        <w:rPr>
          <w:sz w:val="20"/>
        </w:rPr>
        <w:t>ém informačním systému Státního fondu životního prostředí ČR (dále jen „AIS SFŽP“). Vyúčtování zálohově poskytnuté podpory bude odpovídat typu prostředků podle skutečné realizace. Nedodržení vyplaceného typu prostředků prostřednictvím zálohové poskytnuté p</w:t>
      </w:r>
      <w:r>
        <w:rPr>
          <w:sz w:val="20"/>
        </w:rPr>
        <w:t>odpory při vyúčtování není porušením podmínek poskytnutí podpory podle této Smlouvy.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ind w:right="11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 2. 12. 2020 do        30. 6.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471874" w:rsidRDefault="00F7503B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5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4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8</w:t>
      </w:r>
    </w:p>
    <w:p w:rsidR="00471874" w:rsidRDefault="00F7503B">
      <w:pPr>
        <w:pStyle w:val="Zkladntext"/>
        <w:spacing w:before="1"/>
        <w:jc w:val="left"/>
      </w:pPr>
      <w:r>
        <w:t>Výzvy.</w:t>
      </w:r>
    </w:p>
    <w:p w:rsidR="00471874" w:rsidRDefault="00471874">
      <w:pPr>
        <w:pStyle w:val="Zkladntext"/>
        <w:spacing w:before="2"/>
        <w:ind w:left="0"/>
        <w:jc w:val="left"/>
        <w:rPr>
          <w:sz w:val="36"/>
        </w:rPr>
      </w:pPr>
    </w:p>
    <w:p w:rsidR="00471874" w:rsidRDefault="00F7503B">
      <w:pPr>
        <w:pStyle w:val="Nadpis1"/>
        <w:ind w:right="1018"/>
      </w:pPr>
      <w:r>
        <w:t>II</w:t>
      </w:r>
      <w:r>
        <w:t>I.</w:t>
      </w:r>
    </w:p>
    <w:p w:rsidR="00471874" w:rsidRDefault="00F7503B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471874" w:rsidRDefault="00471874">
      <w:pPr>
        <w:pStyle w:val="Zkladntext"/>
        <w:spacing w:before="3"/>
        <w:ind w:left="0"/>
        <w:jc w:val="left"/>
        <w:rPr>
          <w:b/>
          <w:sz w:val="18"/>
        </w:rPr>
      </w:pP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0" w:line="237" w:lineRule="auto"/>
        <w:ind w:right="121"/>
        <w:jc w:val="both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471874" w:rsidRDefault="00471874">
      <w:pPr>
        <w:spacing w:line="237" w:lineRule="auto"/>
        <w:jc w:val="both"/>
        <w:rPr>
          <w:sz w:val="20"/>
        </w:r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Při splnění příslušných podmínek této Smlouvy poskytne Fond podporu po nabytí účinnosti</w:t>
      </w:r>
      <w:r>
        <w:rPr>
          <w:spacing w:val="30"/>
          <w:sz w:val="20"/>
        </w:rPr>
        <w:t xml:space="preserve"> </w:t>
      </w:r>
      <w:r>
        <w:rPr>
          <w:sz w:val="20"/>
        </w:rPr>
        <w:t>této</w:t>
      </w:r>
    </w:p>
    <w:p w:rsidR="00471874" w:rsidRDefault="00F7503B">
      <w:pPr>
        <w:pStyle w:val="Zkladntext"/>
        <w:jc w:val="left"/>
      </w:pPr>
      <w:r>
        <w:t>Smlouvy.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rámci ročního fi</w:t>
      </w:r>
      <w:r>
        <w:rPr>
          <w:sz w:val="20"/>
        </w:rPr>
        <w:t>nančního vypořádání podle článku IV bodu 1 písm. n)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povinností stanovených touto Smlouvou, či je plnění některé povinnosti vážn</w:t>
      </w:r>
      <w:r>
        <w:rPr>
          <w:sz w:val="20"/>
        </w:rPr>
        <w:t>ě ohroženo.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471874" w:rsidRDefault="00F7503B">
      <w:pPr>
        <w:pStyle w:val="Zkladntext"/>
        <w:spacing w:before="1"/>
      </w:pPr>
      <w:r>
        <w:t>akce. V takovém případě Fond příjemci podpory umožní i odpovídající změnu termínů realizace akce.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122" w:line="237" w:lineRule="auto"/>
        <w:ind w:right="109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</w:t>
      </w:r>
      <w:r>
        <w:rPr>
          <w:sz w:val="20"/>
        </w:rPr>
        <w:t>emce doloží 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SFŽP:</w:t>
      </w:r>
    </w:p>
    <w:p w:rsidR="00471874" w:rsidRDefault="00F7503B">
      <w:pPr>
        <w:pStyle w:val="Odstavecseseznamem"/>
        <w:numPr>
          <w:ilvl w:val="1"/>
          <w:numId w:val="5"/>
        </w:numPr>
        <w:tabs>
          <w:tab w:val="left" w:pos="949"/>
        </w:tabs>
        <w:ind w:right="114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</w:t>
      </w:r>
      <w:r>
        <w:rPr>
          <w:sz w:val="20"/>
        </w:rPr>
        <w:t>ítka, včetně případných soupisů provedených prací, zjišťovacích 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</w:t>
      </w:r>
      <w:r>
        <w:rPr>
          <w:sz w:val="20"/>
        </w:rPr>
        <w:t>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17"/>
          <w:sz w:val="20"/>
        </w:rPr>
        <w:t xml:space="preserve"> </w:t>
      </w:r>
      <w:r>
        <w:rPr>
          <w:sz w:val="20"/>
        </w:rPr>
        <w:t>správnosti;</w:t>
      </w:r>
    </w:p>
    <w:p w:rsidR="00471874" w:rsidRDefault="00F7503B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</w:t>
      </w:r>
      <w:r>
        <w:rPr>
          <w:sz w:val="20"/>
        </w:rPr>
        <w:t>o  pověřeného  zástupce  příjemce  podpory a otiskem</w:t>
      </w:r>
      <w:r>
        <w:rPr>
          <w:spacing w:val="-1"/>
          <w:sz w:val="20"/>
        </w:rPr>
        <w:t xml:space="preserve"> </w:t>
      </w:r>
      <w:r>
        <w:rPr>
          <w:sz w:val="20"/>
        </w:rPr>
        <w:t>razítka.</w:t>
      </w:r>
    </w:p>
    <w:p w:rsidR="00471874" w:rsidRDefault="00F7503B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21"/>
          <w:sz w:val="20"/>
        </w:rPr>
        <w:t xml:space="preserve"> </w:t>
      </w:r>
      <w:r>
        <w:rPr>
          <w:sz w:val="20"/>
        </w:rPr>
        <w:t>fakturu,</w:t>
      </w:r>
      <w:r>
        <w:rPr>
          <w:spacing w:val="21"/>
          <w:sz w:val="20"/>
        </w:rPr>
        <w:t xml:space="preserve"> </w:t>
      </w:r>
      <w:r>
        <w:rPr>
          <w:sz w:val="20"/>
        </w:rPr>
        <w:t>je-li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nutné</w:t>
      </w:r>
      <w:r>
        <w:rPr>
          <w:spacing w:val="20"/>
          <w:sz w:val="20"/>
        </w:rPr>
        <w:t xml:space="preserve"> </w:t>
      </w:r>
      <w:r>
        <w:rPr>
          <w:sz w:val="20"/>
        </w:rPr>
        <w:t>vždy</w:t>
      </w:r>
      <w:r>
        <w:rPr>
          <w:spacing w:val="2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1"/>
          <w:sz w:val="20"/>
        </w:rPr>
        <w:t xml:space="preserve"> </w:t>
      </w:r>
      <w:r>
        <w:rPr>
          <w:sz w:val="20"/>
        </w:rPr>
        <w:t>spolu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daňovým</w:t>
      </w:r>
    </w:p>
    <w:p w:rsidR="00471874" w:rsidRDefault="00F7503B">
      <w:pPr>
        <w:pStyle w:val="Zkladntext"/>
        <w:ind w:left="948"/>
      </w:pPr>
      <w:r>
        <w:t>dokladem – fakturou za provedené práce, služby a dodávky.</w:t>
      </w:r>
    </w:p>
    <w:p w:rsidR="00471874" w:rsidRDefault="00F7503B">
      <w:pPr>
        <w:pStyle w:val="Zkladntext"/>
        <w:spacing w:before="121"/>
        <w:ind w:right="112"/>
      </w:pPr>
      <w:r>
        <w:t>Vyúčtováním, tedy předložením kopií faktur, příjemce podpory m. j. potvrzuje, že předložené faktury odpovídají skutečným, účelně vynaloženým a způsobilým výdajům akce. K vyúčtování musí být předloženy faktury již uhrazené. Úhrada veškerých dokladů musí být</w:t>
      </w:r>
      <w:r>
        <w:t xml:space="preserve"> provedena vždy bezhotovostně.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8"/>
          <w:sz w:val="20"/>
        </w:rPr>
        <w:t xml:space="preserve"> </w:t>
      </w:r>
      <w:r>
        <w:rPr>
          <w:sz w:val="20"/>
        </w:rPr>
        <w:t>splnit.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</w:t>
      </w:r>
      <w:r>
        <w:rPr>
          <w:sz w:val="20"/>
        </w:rPr>
        <w:t xml:space="preserve"> dobropis faktury, je povinen tyto doklady včetně zdůvodnění a kopie bankovního výpisu s vrácenými prostředky doložit Fondu souběžně s vyúčtováním poskytnuté zálohově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</w:t>
      </w:r>
      <w:r>
        <w:rPr>
          <w:sz w:val="20"/>
        </w:rPr>
        <w:t>ry a zhotovitelem (úhrada faktury není v plné výši doložena bankovním výpisem), je vždy nutno předložit písemnou smlouvu/dohodu o započtení vzájemných plnění stejného druhu (pohledávek a závazků) vzniklých na základě smluvního vztahu mezi příjemcem faktury</w:t>
      </w:r>
      <w:r>
        <w:rPr>
          <w:sz w:val="20"/>
        </w:rPr>
        <w:t xml:space="preserve"> a fakturujícím zhotovitelem, podepsanou příjemcem podpory i zhotovitelem. Tato oboustranná vzájemná dohoda musí být uzavřena v souladu s občanským zákoníkem. V dohodě musí být uvedeny smluvní strany, identifikace projektu a faktur/y (v případě odlišného v</w:t>
      </w:r>
      <w:r>
        <w:rPr>
          <w:sz w:val="20"/>
        </w:rPr>
        <w:t>ariabilního symbolu oproti číslu faktury je vhodné uvést i variabilní symbol), vzájemně započtené částky a měny, datum podpisu smluvních stran a podpisy obou smluvních</w:t>
      </w:r>
      <w:r>
        <w:rPr>
          <w:spacing w:val="-17"/>
          <w:sz w:val="20"/>
        </w:rPr>
        <w:t xml:space="preserve"> </w:t>
      </w:r>
      <w:r>
        <w:rPr>
          <w:sz w:val="20"/>
        </w:rPr>
        <w:t>stran.</w:t>
      </w:r>
    </w:p>
    <w:p w:rsidR="00471874" w:rsidRDefault="00471874">
      <w:pPr>
        <w:jc w:val="both"/>
        <w:rPr>
          <w:sz w:val="20"/>
        </w:r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15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</w:t>
      </w:r>
      <w:r>
        <w:rPr>
          <w:sz w:val="20"/>
        </w:rPr>
        <w:t>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471874" w:rsidRDefault="00471874">
      <w:pPr>
        <w:pStyle w:val="Zkladntext"/>
        <w:spacing w:before="2"/>
        <w:ind w:left="0"/>
        <w:jc w:val="left"/>
        <w:rPr>
          <w:sz w:val="36"/>
        </w:rPr>
      </w:pPr>
    </w:p>
    <w:p w:rsidR="00471874" w:rsidRDefault="00F7503B">
      <w:pPr>
        <w:pStyle w:val="Nadpis1"/>
        <w:ind w:right="1016"/>
      </w:pPr>
      <w:r>
        <w:t>IV.</w:t>
      </w:r>
    </w:p>
    <w:p w:rsidR="00471874" w:rsidRDefault="00F7503B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471874" w:rsidRDefault="00471874">
      <w:pPr>
        <w:pStyle w:val="Zkladntext"/>
        <w:spacing w:before="1"/>
        <w:ind w:left="0"/>
        <w:jc w:val="left"/>
        <w:rPr>
          <w:b/>
          <w:sz w:val="18"/>
        </w:rPr>
      </w:pPr>
    </w:p>
    <w:p w:rsidR="00471874" w:rsidRDefault="00F7503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ind w:right="117"/>
        <w:jc w:val="both"/>
        <w:rPr>
          <w:sz w:val="20"/>
        </w:rPr>
      </w:pPr>
      <w:r>
        <w:rPr>
          <w:sz w:val="20"/>
        </w:rPr>
        <w:t>„splní účel akce „Projektová příprava Revitalizace slepého ramene v obci Rohatec“ tím, že akce</w:t>
      </w:r>
      <w:r>
        <w:rPr>
          <w:spacing w:val="-40"/>
          <w:sz w:val="20"/>
        </w:rPr>
        <w:t xml:space="preserve"> </w:t>
      </w:r>
      <w:r>
        <w:rPr>
          <w:sz w:val="20"/>
        </w:rPr>
        <w:t>bude provedena v souladu se žádostí o podporu a jejími přílohami a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zpracuje projektovou přípravu pro následnou realizaci projektu zaměřeného na  revitalizaci  slepého ramene řeky Moravy, zajistí podání žádosti o podporu na realizaci projekt</w:t>
      </w:r>
      <w:r>
        <w:rPr>
          <w:sz w:val="20"/>
        </w:rPr>
        <w:t xml:space="preserve">ovaného  opatření   v   rámci    odpovídající    vyhlášené    výzvy    Operačního    programu    Životní  prostředí 2021-2027 (dále  jen  „OPŽP  2021-2027“),  tj.  v  první  možné  výzvě  k  podávání  žádostí, která bude svým zaměřením odpovídat tematicky </w:t>
      </w:r>
      <w:r>
        <w:rPr>
          <w:sz w:val="20"/>
        </w:rPr>
        <w:t>projektovanému</w:t>
      </w:r>
      <w:r>
        <w:rPr>
          <w:spacing w:val="-9"/>
          <w:sz w:val="20"/>
        </w:rPr>
        <w:t xml:space="preserve"> </w:t>
      </w:r>
      <w:r>
        <w:rPr>
          <w:sz w:val="20"/>
        </w:rPr>
        <w:t>opatření,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3" w:hanging="284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12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dosaženo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písmene</w:t>
      </w:r>
      <w:r>
        <w:rPr>
          <w:spacing w:val="-12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byla ukončena příprava projektu, t.. zpracovaná stavební dokumentace pro provedení stavby</w:t>
      </w:r>
      <w:r>
        <w:rPr>
          <w:spacing w:val="51"/>
          <w:sz w:val="20"/>
        </w:rPr>
        <w:t xml:space="preserve"> </w:t>
      </w:r>
      <w:r>
        <w:rPr>
          <w:sz w:val="20"/>
        </w:rPr>
        <w:t>podle</w:t>
      </w:r>
    </w:p>
    <w:p w:rsidR="00471874" w:rsidRDefault="00F7503B">
      <w:pPr>
        <w:pStyle w:val="Zkladntext"/>
        <w:spacing w:before="1"/>
        <w:ind w:left="948" w:right="111"/>
      </w:pPr>
      <w:r>
        <w:t>§ 3 vyhlášky č. 499/2006 Sb., o dokumentaci staveb, ve znění pozdějších předpisů, uzavřená smlouva o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stavby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vydané</w:t>
      </w:r>
      <w:r>
        <w:rPr>
          <w:spacing w:val="-6"/>
        </w:rPr>
        <w:t xml:space="preserve"> </w:t>
      </w:r>
      <w:r>
        <w:t>pravomocné</w:t>
      </w:r>
      <w:r>
        <w:rPr>
          <w:spacing w:val="-5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t>povol</w:t>
      </w:r>
      <w:r>
        <w:t>ení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projektované</w:t>
      </w:r>
      <w:r>
        <w:rPr>
          <w:spacing w:val="-4"/>
        </w:rPr>
        <w:t xml:space="preserve"> </w:t>
      </w:r>
      <w:r>
        <w:t>opatření,</w:t>
      </w:r>
      <w:r>
        <w:rPr>
          <w:spacing w:val="-6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bylo možné   neprodleně   po    splnění    podmínek   vydaného    Rozhodnutí    o   poskytnutí   dotace    z</w:t>
      </w:r>
      <w:r>
        <w:rPr>
          <w:spacing w:val="-3"/>
        </w:rPr>
        <w:t xml:space="preserve"> </w:t>
      </w:r>
      <w:r>
        <w:t>OPŽP</w:t>
      </w:r>
      <w:r>
        <w:rPr>
          <w:spacing w:val="-8"/>
        </w:rPr>
        <w:t xml:space="preserve"> </w:t>
      </w:r>
      <w:r>
        <w:t>2021–2027</w:t>
      </w:r>
      <w:r>
        <w:rPr>
          <w:spacing w:val="-10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„RoPD“)</w:t>
      </w:r>
      <w:r>
        <w:rPr>
          <w:spacing w:val="-9"/>
        </w:rPr>
        <w:t xml:space="preserve"> </w:t>
      </w:r>
      <w:r>
        <w:t>zahájit</w:t>
      </w:r>
      <w:r>
        <w:rPr>
          <w:spacing w:val="-9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stavby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t>financování.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nestavebních projektů je možné namísto stavebního povolení doložit vyjádření stavebního úřadu, že realizace opatření</w:t>
      </w:r>
      <w:r>
        <w:rPr>
          <w:spacing w:val="-9"/>
        </w:rPr>
        <w:t xml:space="preserve"> </w:t>
      </w:r>
      <w:r>
        <w:t>nepodléhá</w:t>
      </w:r>
      <w:r>
        <w:rPr>
          <w:spacing w:val="-8"/>
        </w:rPr>
        <w:t xml:space="preserve"> </w:t>
      </w:r>
      <w:r>
        <w:t>stavebnímu</w:t>
      </w:r>
      <w:r>
        <w:rPr>
          <w:spacing w:val="-8"/>
        </w:rPr>
        <w:t xml:space="preserve"> </w:t>
      </w:r>
      <w:r>
        <w:t>povolení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nahradit</w:t>
      </w:r>
      <w:r>
        <w:rPr>
          <w:spacing w:val="-8"/>
        </w:rPr>
        <w:t xml:space="preserve"> </w:t>
      </w:r>
      <w:r>
        <w:t>nejvyšším</w:t>
      </w:r>
      <w:r>
        <w:rPr>
          <w:spacing w:val="-8"/>
        </w:rPr>
        <w:t xml:space="preserve"> </w:t>
      </w:r>
      <w:r>
        <w:t>stavebním</w:t>
      </w:r>
      <w:r>
        <w:rPr>
          <w:spacing w:val="-7"/>
        </w:rPr>
        <w:t xml:space="preserve"> </w:t>
      </w:r>
      <w:r>
        <w:t>úřadem</w:t>
      </w:r>
      <w:r>
        <w:rPr>
          <w:spacing w:val="-7"/>
        </w:rPr>
        <w:t xml:space="preserve"> </w:t>
      </w:r>
      <w:r>
        <w:t>požadovaným stupněm</w:t>
      </w:r>
      <w:r>
        <w:rPr>
          <w:spacing w:val="-6"/>
        </w:rPr>
        <w:t xml:space="preserve"> </w:t>
      </w:r>
      <w:r>
        <w:t>územního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stavebního</w:t>
      </w:r>
      <w:r>
        <w:rPr>
          <w:spacing w:val="-4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dané</w:t>
      </w:r>
      <w:r>
        <w:rPr>
          <w:spacing w:val="-7"/>
        </w:rPr>
        <w:t xml:space="preserve"> </w:t>
      </w:r>
      <w:r>
        <w:t>věci.</w:t>
      </w:r>
      <w:r>
        <w:rPr>
          <w:spacing w:val="-4"/>
        </w:rPr>
        <w:t xml:space="preserve"> </w:t>
      </w:r>
      <w:r>
        <w:t>N</w:t>
      </w:r>
      <w:r>
        <w:t>áklady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část</w:t>
      </w:r>
      <w:r>
        <w:rPr>
          <w:spacing w:val="-6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přípravy</w:t>
      </w:r>
      <w:r>
        <w:rPr>
          <w:spacing w:val="-5"/>
        </w:rPr>
        <w:t xml:space="preserve"> </w:t>
      </w:r>
      <w:r>
        <w:t>jsou pak způsobilé v rozsahu nákladů potřebných na dosažení tohoto nejvyššího požadovaného stupně územního nebo stavebního řízení,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04"/>
        </w:tabs>
        <w:spacing w:before="122" w:line="276" w:lineRule="auto"/>
        <w:ind w:left="948" w:right="110" w:hanging="284"/>
        <w:jc w:val="both"/>
        <w:rPr>
          <w:sz w:val="20"/>
        </w:rPr>
      </w:pPr>
      <w:r>
        <w:tab/>
      </w:r>
      <w:r>
        <w:rPr>
          <w:sz w:val="20"/>
        </w:rPr>
        <w:t>k termínu pro závěrečné vyhodnocení akce (ZVA) podle písmene m) bude dosaženo plnění</w:t>
      </w:r>
      <w:r>
        <w:rPr>
          <w:sz w:val="20"/>
        </w:rPr>
        <w:t xml:space="preserve">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471874" w:rsidRDefault="00F7503B">
      <w:pPr>
        <w:pStyle w:val="Zkladntext"/>
        <w:spacing w:before="120" w:line="276" w:lineRule="auto"/>
        <w:ind w:left="948"/>
        <w:jc w:val="left"/>
      </w:pPr>
      <w:r>
        <w:t>Pravomocné stavební povolení (ks): 1 (V případě, že nebude stavebním úřadem vyžadováno, bude doložen dle podmínek výzvy jiný relevantní indikátor.)</w:t>
      </w:r>
    </w:p>
    <w:p w:rsidR="00471874" w:rsidRDefault="00F7503B">
      <w:pPr>
        <w:pStyle w:val="Zkladntext"/>
        <w:spacing w:before="120" w:line="384" w:lineRule="auto"/>
        <w:ind w:left="948" w:right="3655"/>
        <w:jc w:val="left"/>
      </w:pPr>
      <w:r>
        <w:t>Stavební dokumentace pro provedení stavby (ks): 1 Uzavřená smlouva o dílo na zhot</w:t>
      </w:r>
      <w:r>
        <w:t>ovitele stavby (ks): 1</w:t>
      </w:r>
    </w:p>
    <w:p w:rsidR="00471874" w:rsidRDefault="00F7503B">
      <w:pPr>
        <w:pStyle w:val="Zkladntext"/>
        <w:spacing w:line="276" w:lineRule="auto"/>
        <w:ind w:left="948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19" w:line="276" w:lineRule="auto"/>
        <w:ind w:left="948" w:right="112" w:hanging="284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</w:t>
      </w:r>
      <w:r>
        <w:rPr>
          <w:sz w:val="20"/>
        </w:rPr>
        <w:t>é podání žádosti do OPŽP 2021–2027 dle podmínek stanovených ve</w:t>
      </w:r>
      <w:r>
        <w:rPr>
          <w:spacing w:val="-3"/>
          <w:sz w:val="20"/>
        </w:rPr>
        <w:t xml:space="preserve"> </w:t>
      </w:r>
      <w:r>
        <w:rPr>
          <w:sz w:val="20"/>
        </w:rPr>
        <w:t>Výzvě,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51"/>
        </w:tabs>
        <w:spacing w:before="120" w:line="276" w:lineRule="auto"/>
        <w:ind w:left="950" w:right="114" w:hanging="286"/>
        <w:jc w:val="both"/>
        <w:rPr>
          <w:sz w:val="20"/>
        </w:rPr>
      </w:pPr>
      <w:r>
        <w:rPr>
          <w:sz w:val="20"/>
        </w:rPr>
        <w:t>bude Fondu jednou za 3 měsíce od zahájení realizace projektu předkládat prostřednictvím IS AIS ke kontrole dílčí výstup projektové přípravy (např. zpracovanou projektovou dokumentaci pro stavební povolení) za účelem posouzení, zda je projektovaný záměr v s</w:t>
      </w:r>
      <w:r>
        <w:rPr>
          <w:sz w:val="20"/>
        </w:rPr>
        <w:t>ouladu s podmínkami přijatelnosti do OPŽP 2021–2027. Příjemce podpory může kdykoliv požádat Fond o konzultaci ohledně přijatelnosti projektu ve vztahu k OPŽP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2021–2027,</w:t>
      </w:r>
    </w:p>
    <w:p w:rsidR="00471874" w:rsidRDefault="00471874">
      <w:pPr>
        <w:spacing w:line="276" w:lineRule="auto"/>
        <w:jc w:val="both"/>
        <w:rPr>
          <w:sz w:val="20"/>
        </w:r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lastRenderedPageBreak/>
        <w:t>bude zacházet s majetkem spolufinancovaným z dotace s péčí řádného</w:t>
      </w:r>
      <w:r>
        <w:rPr>
          <w:spacing w:val="-10"/>
          <w:sz w:val="20"/>
        </w:rPr>
        <w:t xml:space="preserve"> </w:t>
      </w:r>
      <w:r>
        <w:rPr>
          <w:sz w:val="20"/>
        </w:rPr>
        <w:t>hospodáře,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ind w:right="112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o účetnictví, v platném znění, zákon č. 586/1992 Sb., o daních z příjmů, v platném</w:t>
      </w:r>
      <w:r>
        <w:rPr>
          <w:sz w:val="20"/>
        </w:rPr>
        <w:t xml:space="preserve"> znění). Příjemce podpory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zavazuje</w:t>
      </w:r>
      <w:r>
        <w:rPr>
          <w:spacing w:val="-16"/>
          <w:sz w:val="20"/>
        </w:rPr>
        <w:t xml:space="preserve"> </w:t>
      </w:r>
      <w:r>
        <w:rPr>
          <w:sz w:val="20"/>
        </w:rPr>
        <w:t>všechny</w:t>
      </w:r>
      <w:r>
        <w:rPr>
          <w:spacing w:val="-16"/>
          <w:sz w:val="20"/>
        </w:rPr>
        <w:t xml:space="preserve"> </w:t>
      </w:r>
      <w:r>
        <w:rPr>
          <w:sz w:val="20"/>
        </w:rPr>
        <w:t>transakce</w:t>
      </w:r>
      <w:r>
        <w:rPr>
          <w:spacing w:val="-1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13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7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6"/>
          <w:sz w:val="20"/>
        </w:rPr>
        <w:t xml:space="preserve"> </w:t>
      </w:r>
      <w:r>
        <w:rPr>
          <w:sz w:val="20"/>
        </w:rPr>
        <w:t>účetních 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5"/>
          <w:sz w:val="20"/>
        </w:rPr>
        <w:t xml:space="preserve"> </w:t>
      </w:r>
      <w:r>
        <w:rPr>
          <w:sz w:val="20"/>
        </w:rPr>
        <w:t>ke</w:t>
      </w:r>
      <w:r>
        <w:rPr>
          <w:spacing w:val="-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6"/>
          <w:sz w:val="20"/>
        </w:rPr>
        <w:t xml:space="preserve"> </w:t>
      </w:r>
      <w:r>
        <w:rPr>
          <w:sz w:val="20"/>
        </w:rPr>
        <w:t>akci,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umožní provádět kontrolu proved</w:t>
      </w:r>
      <w:r>
        <w:rPr>
          <w:sz w:val="20"/>
        </w:rPr>
        <w:t>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ind w:right="113"/>
        <w:jc w:val="both"/>
        <w:rPr>
          <w:sz w:val="20"/>
        </w:rPr>
      </w:pPr>
      <w:r>
        <w:rPr>
          <w:sz w:val="20"/>
        </w:rPr>
        <w:t>dodrží termín ukončení akce do 30. 6. 2022; za termín ukončení akce s</w:t>
      </w:r>
      <w:r>
        <w:rPr>
          <w:sz w:val="20"/>
        </w:rPr>
        <w:t>e považuje ukončená fáze přípravy</w:t>
      </w:r>
      <w:r>
        <w:rPr>
          <w:spacing w:val="32"/>
          <w:sz w:val="20"/>
        </w:rPr>
        <w:t xml:space="preserve"> </w:t>
      </w:r>
      <w:r>
        <w:rPr>
          <w:sz w:val="20"/>
        </w:rPr>
        <w:t>projektu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rozsahu</w:t>
      </w:r>
      <w:r>
        <w:rPr>
          <w:spacing w:val="3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36"/>
          <w:sz w:val="20"/>
        </w:rPr>
        <w:t xml:space="preserve"> </w:t>
      </w:r>
      <w:r>
        <w:rPr>
          <w:sz w:val="20"/>
        </w:rPr>
        <w:t>stavební</w:t>
      </w:r>
      <w:r>
        <w:rPr>
          <w:spacing w:val="3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provedení</w:t>
      </w:r>
      <w:r>
        <w:rPr>
          <w:spacing w:val="32"/>
          <w:sz w:val="20"/>
        </w:rPr>
        <w:t xml:space="preserve"> </w:t>
      </w:r>
      <w:r>
        <w:rPr>
          <w:sz w:val="20"/>
        </w:rPr>
        <w:t>stavby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</w:p>
    <w:p w:rsidR="00471874" w:rsidRDefault="00F7503B">
      <w:pPr>
        <w:pStyle w:val="Zkladntext"/>
        <w:spacing w:before="1"/>
        <w:ind w:left="1025" w:right="117"/>
      </w:pPr>
      <w:r>
        <w:t>§ 3 vyhlášky č. 499/2006 Sb., o dokumentaci staveb, ve znění pozdějších předpisů, zároveň uzavření smlouvy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dílo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realizaci</w:t>
      </w:r>
      <w:r>
        <w:rPr>
          <w:spacing w:val="-13"/>
        </w:rPr>
        <w:t xml:space="preserve"> </w:t>
      </w:r>
      <w:r>
        <w:t>stavby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vydání</w:t>
      </w:r>
      <w:r>
        <w:rPr>
          <w:spacing w:val="-13"/>
        </w:rPr>
        <w:t xml:space="preserve"> </w:t>
      </w:r>
      <w:r>
        <w:t>pravomocného</w:t>
      </w:r>
      <w:r>
        <w:rPr>
          <w:spacing w:val="-12"/>
        </w:rPr>
        <w:t xml:space="preserve"> </w:t>
      </w:r>
      <w:r>
        <w:t>stavebního</w:t>
      </w:r>
      <w:r>
        <w:rPr>
          <w:spacing w:val="-13"/>
        </w:rPr>
        <w:t xml:space="preserve"> </w:t>
      </w:r>
      <w:r>
        <w:t>povolení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účelem</w:t>
      </w:r>
      <w:r>
        <w:rPr>
          <w:spacing w:val="-12"/>
        </w:rPr>
        <w:t xml:space="preserve"> </w:t>
      </w:r>
      <w:r>
        <w:t>úspěšného podání žádosti o podporu v rámci výzvy OPŽP</w:t>
      </w:r>
      <w:r>
        <w:rPr>
          <w:spacing w:val="-1"/>
        </w:rPr>
        <w:t xml:space="preserve"> </w:t>
      </w:r>
      <w:r>
        <w:t>2021-2027,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dvou</w:t>
      </w:r>
      <w:r>
        <w:rPr>
          <w:spacing w:val="17"/>
          <w:sz w:val="20"/>
        </w:rPr>
        <w:t xml:space="preserve"> </w:t>
      </w:r>
      <w:r>
        <w:rPr>
          <w:sz w:val="20"/>
        </w:rPr>
        <w:t>měsíců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7"/>
          <w:sz w:val="20"/>
        </w:rPr>
        <w:t xml:space="preserve"> </w:t>
      </w:r>
      <w:r>
        <w:rPr>
          <w:sz w:val="20"/>
        </w:rPr>
        <w:t>termínu</w:t>
      </w:r>
      <w:r>
        <w:rPr>
          <w:spacing w:val="17"/>
          <w:sz w:val="20"/>
        </w:rPr>
        <w:t xml:space="preserve"> </w:t>
      </w:r>
      <w:r>
        <w:rPr>
          <w:sz w:val="20"/>
        </w:rPr>
        <w:t>ukončení</w:t>
      </w:r>
      <w:r>
        <w:rPr>
          <w:spacing w:val="16"/>
          <w:sz w:val="20"/>
        </w:rPr>
        <w:t xml:space="preserve"> </w:t>
      </w:r>
      <w:r>
        <w:rPr>
          <w:sz w:val="20"/>
        </w:rPr>
        <w:t>akce,</w:t>
      </w:r>
      <w:r>
        <w:rPr>
          <w:spacing w:val="1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5"/>
          <w:sz w:val="20"/>
        </w:rPr>
        <w:t xml:space="preserve"> </w:t>
      </w:r>
      <w:r>
        <w:rPr>
          <w:sz w:val="20"/>
        </w:rPr>
        <w:t>však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konce</w:t>
      </w:r>
    </w:p>
    <w:p w:rsidR="00471874" w:rsidRDefault="00F7503B">
      <w:pPr>
        <w:pStyle w:val="Zkladntext"/>
        <w:spacing w:before="1"/>
        <w:ind w:left="1025"/>
      </w:pPr>
      <w:r>
        <w:t>31. 8. 2022, vyúčtování a podklady k ZVA podle článku 11 písm. d) Výzvy.</w:t>
      </w:r>
    </w:p>
    <w:p w:rsidR="00471874" w:rsidRDefault="00F7503B">
      <w:pPr>
        <w:pStyle w:val="Zkladntext"/>
        <w:spacing w:before="120"/>
        <w:ind w:left="1025" w:right="113"/>
      </w:pPr>
      <w:r>
        <w:t>K ZVA může Fond vydat závazné pokyny (či požádat o informace), které mohou jeho obsah blíže specifikovat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rozšířit.</w:t>
      </w:r>
      <w:r>
        <w:rPr>
          <w:spacing w:val="-15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tyto</w:t>
      </w:r>
      <w:r>
        <w:rPr>
          <w:spacing w:val="-14"/>
        </w:rPr>
        <w:t xml:space="preserve"> </w:t>
      </w:r>
      <w:r>
        <w:t>pokyny</w:t>
      </w:r>
      <w:r>
        <w:rPr>
          <w:spacing w:val="-16"/>
        </w:rPr>
        <w:t xml:space="preserve"> </w:t>
      </w:r>
      <w:r>
        <w:t>(žádost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informace)</w:t>
      </w:r>
      <w:r>
        <w:rPr>
          <w:spacing w:val="-15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zbytečného odkladu  (případně  ve  lhůtě  stanovené  Fondem)  splnit.  Fond  není  povinen  vydat  protokol     o ZVA dříve, než obdrží veškeré požadované podklady a informace, na základě,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v případě, že příjemce podpory nepodá žádost o podpor</w:t>
      </w:r>
      <w:r>
        <w:rPr>
          <w:sz w:val="20"/>
        </w:rPr>
        <w:t>u v rámci výzvy OPŽP 2021–2027 nebo podaná žádost do OPŽP 2021 -2027 nebude akceptována, popř. bude vypracována projektová příprava nepřijatelná z hlediska podmínek výzvy OPŽP 2021-2027 nebo se příjemce podpory rozhodne projekt nerealizovat nebo se rozhodn</w:t>
      </w:r>
      <w:r>
        <w:rPr>
          <w:sz w:val="20"/>
        </w:rPr>
        <w:t>e nerealizovat opatření podle vydaného RoPD, je 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účet Fondu, ze kterého byla podpora poskytnuta, následně po jejím vypořádání bude vydáno ZVA se zohledněním navrácení</w:t>
      </w:r>
      <w:r>
        <w:rPr>
          <w:sz w:val="20"/>
        </w:rPr>
        <w:t xml:space="preserve">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1026"/>
        </w:tabs>
        <w:ind w:right="107"/>
        <w:jc w:val="both"/>
        <w:rPr>
          <w:rFonts w:ascii="Times New Roman" w:hAnsi="Times New Roman"/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>.</w:t>
      </w:r>
    </w:p>
    <w:p w:rsidR="00471874" w:rsidRDefault="00F7503B">
      <w:pPr>
        <w:pStyle w:val="Odstavecseseznamem"/>
        <w:numPr>
          <w:ilvl w:val="0"/>
          <w:numId w:val="4"/>
        </w:numPr>
        <w:tabs>
          <w:tab w:val="left" w:pos="605"/>
        </w:tabs>
        <w:spacing w:before="119"/>
        <w:ind w:left="60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471874" w:rsidRDefault="00471874">
      <w:pPr>
        <w:jc w:val="both"/>
        <w:rPr>
          <w:sz w:val="20"/>
        </w:r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73"/>
        <w:ind w:left="948" w:right="112" w:hanging="284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</w:t>
      </w:r>
      <w:r>
        <w:rPr>
          <w:sz w:val="20"/>
        </w:rPr>
        <w:t>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z w:val="20"/>
        </w:rPr>
        <w:t>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19"/>
        <w:ind w:left="948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</w:t>
      </w:r>
      <w:r>
        <w:rPr>
          <w:sz w:val="20"/>
        </w:rPr>
        <w:t>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471874" w:rsidRDefault="00F7503B">
      <w:pPr>
        <w:pStyle w:val="Zkladntext"/>
        <w:spacing w:line="265" w:lineRule="exact"/>
        <w:ind w:left="948"/>
      </w:pPr>
      <w:r>
        <w:t>– odkaz na Zadávání veřejných zakázek pro OPŽP 2014 - 2020, a to i v průběhu realizace akce,</w:t>
      </w:r>
    </w:p>
    <w:p w:rsidR="00471874" w:rsidRDefault="00F7503B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471874" w:rsidRDefault="00471874">
      <w:pPr>
        <w:pStyle w:val="Zkladntext"/>
        <w:spacing w:before="2"/>
        <w:ind w:left="0"/>
        <w:jc w:val="left"/>
        <w:rPr>
          <w:sz w:val="36"/>
        </w:rPr>
      </w:pPr>
    </w:p>
    <w:p w:rsidR="00471874" w:rsidRDefault="00F7503B">
      <w:pPr>
        <w:pStyle w:val="Nadpis1"/>
        <w:ind w:right="1016"/>
      </w:pPr>
      <w:r>
        <w:t>V.</w:t>
      </w:r>
    </w:p>
    <w:p w:rsidR="00471874" w:rsidRDefault="00F7503B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471874" w:rsidRDefault="00471874">
      <w:pPr>
        <w:pStyle w:val="Zkladntext"/>
        <w:spacing w:before="11"/>
        <w:ind w:left="0"/>
        <w:jc w:val="left"/>
        <w:rPr>
          <w:b/>
          <w:sz w:val="17"/>
        </w:rPr>
      </w:pP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 znění.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h) nebo m) nebo podle článku IV bodu 2 písm. a), c) nebo e) bude postiženo odvodem ve výši 100  %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Porušen</w:t>
      </w:r>
      <w:r>
        <w:rPr>
          <w:sz w:val="20"/>
        </w:rPr>
        <w:t>í povinnosti podle článku IV bodu 1 písm. k) bude v případě prodlení do 60 kalendářních dnů postiženo odvodem ve výši 5 % z poskytnuté podpory, prodlení delší než 60 kalendářních dnů bude postiženo odvodem ve výši 100 % z poskytnuté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bez postihu a nebude tak považováno za porušení podmínek této Smlouvy, prodlení od 61. do 120. kalendářního dne bude postiženo odvodem ve výši 5 % z poskytnuté podpory, prodlení delší než 120 kalendářních dnů bude postiženo odvodem ve výši 100 % z poskytnu</w:t>
      </w:r>
      <w:r>
        <w:rPr>
          <w:sz w:val="20"/>
        </w:rPr>
        <w:t>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 povinnosti podle článku IV bodu 1 písm. i) bude postiženo odvodem ve výši 1 % z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poskytnuté</w:t>
      </w:r>
    </w:p>
    <w:p w:rsidR="00471874" w:rsidRDefault="00F7503B">
      <w:pPr>
        <w:pStyle w:val="Zkladntext"/>
        <w:spacing w:before="1"/>
        <w:jc w:val="left"/>
      </w:pPr>
      <w:r>
        <w:t>podpory.</w:t>
      </w:r>
    </w:p>
    <w:p w:rsidR="00471874" w:rsidRDefault="00471874">
      <w:p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ind w:right="112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</w:t>
      </w:r>
      <w:r>
        <w:rPr>
          <w:sz w:val="20"/>
        </w:rPr>
        <w:t>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471874" w:rsidRDefault="00F7503B">
      <w:pPr>
        <w:pStyle w:val="Odstavecseseznamem"/>
        <w:numPr>
          <w:ilvl w:val="0"/>
          <w:numId w:val="3"/>
        </w:numPr>
        <w:tabs>
          <w:tab w:val="left" w:pos="666"/>
        </w:tabs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poskytnuté</w:t>
      </w:r>
    </w:p>
    <w:p w:rsidR="00471874" w:rsidRDefault="00F7503B">
      <w:pPr>
        <w:pStyle w:val="Zkladntext"/>
        <w:jc w:val="left"/>
      </w:pPr>
      <w:r>
        <w:t>podpory.</w:t>
      </w:r>
    </w:p>
    <w:p w:rsidR="00471874" w:rsidRDefault="00471874">
      <w:pPr>
        <w:pStyle w:val="Zkladntext"/>
        <w:spacing w:before="12"/>
        <w:ind w:left="0"/>
        <w:jc w:val="left"/>
        <w:rPr>
          <w:sz w:val="35"/>
        </w:rPr>
      </w:pPr>
    </w:p>
    <w:p w:rsidR="00471874" w:rsidRDefault="00F7503B">
      <w:pPr>
        <w:pStyle w:val="Nadpis1"/>
        <w:ind w:right="1016"/>
      </w:pPr>
      <w:r>
        <w:t>VI.</w:t>
      </w:r>
    </w:p>
    <w:p w:rsidR="00471874" w:rsidRDefault="00F7503B">
      <w:pPr>
        <w:spacing w:before="1"/>
        <w:ind w:left="128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471874" w:rsidRDefault="00471874">
      <w:pPr>
        <w:pStyle w:val="Zkladntext"/>
        <w:spacing w:before="1"/>
        <w:ind w:left="0"/>
        <w:jc w:val="left"/>
        <w:rPr>
          <w:b/>
          <w:sz w:val="18"/>
        </w:rPr>
      </w:pP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z této Smlouvy, uzavřou smluvní strany k této Smlouvě dodatek, kterým bude zajištěn její soulad           s obecně závaznými </w:t>
      </w:r>
      <w:r>
        <w:rPr>
          <w:sz w:val="20"/>
        </w:rPr>
        <w:t>předpisy a Směrnicí MŽP. V případě neuzavření takového dodatku má Fond právo uplatnit postup podle článku V bodu 1.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</w:t>
      </w:r>
      <w:r>
        <w:rPr>
          <w:sz w:val="20"/>
        </w:rPr>
        <w:t>y, a to již v označení věci, které se daná korespondence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</w:t>
      </w:r>
      <w:r>
        <w:rPr>
          <w:sz w:val="20"/>
        </w:rPr>
        <w:t>odle   článku   III,   a 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</w:t>
      </w:r>
      <w:r>
        <w:rPr>
          <w:sz w:val="20"/>
        </w:rPr>
        <w:t>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471874" w:rsidRDefault="00F7503B">
      <w:pPr>
        <w:pStyle w:val="Zkladntext"/>
        <w:spacing w:before="1"/>
        <w:jc w:val="left"/>
      </w:pPr>
      <w:r>
        <w:t>Smlouvou.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23" w:line="237" w:lineRule="auto"/>
        <w:ind w:right="12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</w:t>
      </w:r>
      <w:r>
        <w:rPr>
          <w:sz w:val="20"/>
        </w:rPr>
        <w:t>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471874" w:rsidRDefault="00F7503B">
      <w:pPr>
        <w:pStyle w:val="Odstavecseseznamem"/>
        <w:numPr>
          <w:ilvl w:val="0"/>
          <w:numId w:val="2"/>
        </w:numPr>
        <w:tabs>
          <w:tab w:val="left" w:pos="66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</w:t>
      </w:r>
      <w:r>
        <w:rPr>
          <w:sz w:val="20"/>
        </w:rPr>
        <w:t>inných exemplářích a podepsána vlastnoručně; každý exemplář má platnost originálu. Každá smluvní strana obdrží jeden exemplář.</w:t>
      </w:r>
    </w:p>
    <w:p w:rsidR="00471874" w:rsidRDefault="00471874">
      <w:pPr>
        <w:jc w:val="both"/>
        <w:rPr>
          <w:sz w:val="20"/>
        </w:rPr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Zkladntext"/>
        <w:tabs>
          <w:tab w:val="left" w:pos="6831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471874" w:rsidRDefault="00471874">
      <w:pPr>
        <w:pStyle w:val="Zkladntext"/>
        <w:spacing w:before="1"/>
        <w:ind w:left="0"/>
        <w:jc w:val="left"/>
        <w:rPr>
          <w:sz w:val="18"/>
        </w:rPr>
      </w:pPr>
    </w:p>
    <w:p w:rsidR="00471874" w:rsidRDefault="00F7503B">
      <w:pPr>
        <w:pStyle w:val="Zkladntext"/>
        <w:ind w:left="382"/>
        <w:jc w:val="left"/>
      </w:pPr>
      <w:r>
        <w:t>dne:</w:t>
      </w:r>
    </w:p>
    <w:p w:rsidR="00471874" w:rsidRDefault="00471874">
      <w:pPr>
        <w:pStyle w:val="Zkladntext"/>
        <w:ind w:left="0"/>
        <w:jc w:val="left"/>
        <w:rPr>
          <w:sz w:val="26"/>
        </w:rPr>
      </w:pPr>
    </w:p>
    <w:p w:rsidR="00471874" w:rsidRDefault="00471874">
      <w:pPr>
        <w:pStyle w:val="Zkladntext"/>
        <w:ind w:left="0"/>
        <w:jc w:val="left"/>
        <w:rPr>
          <w:sz w:val="26"/>
        </w:rPr>
      </w:pPr>
    </w:p>
    <w:p w:rsidR="00471874" w:rsidRDefault="00471874">
      <w:pPr>
        <w:pStyle w:val="Zkladntext"/>
        <w:spacing w:before="3"/>
        <w:ind w:left="0"/>
        <w:jc w:val="left"/>
        <w:rPr>
          <w:sz w:val="29"/>
        </w:rPr>
      </w:pPr>
    </w:p>
    <w:p w:rsidR="00471874" w:rsidRDefault="00F7503B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471874" w:rsidRDefault="00F7503B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471874" w:rsidRDefault="00471874">
      <w:pPr>
        <w:pStyle w:val="Zkladntext"/>
        <w:ind w:left="0"/>
        <w:jc w:val="left"/>
        <w:rPr>
          <w:sz w:val="26"/>
        </w:rPr>
      </w:pPr>
    </w:p>
    <w:p w:rsidR="00471874" w:rsidRDefault="00471874">
      <w:pPr>
        <w:pStyle w:val="Zkladntext"/>
        <w:spacing w:before="2"/>
        <w:ind w:left="0"/>
        <w:jc w:val="left"/>
        <w:rPr>
          <w:sz w:val="32"/>
        </w:rPr>
      </w:pPr>
    </w:p>
    <w:p w:rsidR="00471874" w:rsidRDefault="00F7503B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471874" w:rsidRDefault="00471874">
      <w:pPr>
        <w:spacing w:line="264" w:lineRule="auto"/>
        <w:sectPr w:rsidR="00471874">
          <w:pgSz w:w="12240" w:h="15840"/>
          <w:pgMar w:top="1060" w:right="1020" w:bottom="1660" w:left="1320" w:header="0" w:footer="1380" w:gutter="0"/>
          <w:cols w:space="708"/>
        </w:sectPr>
      </w:pPr>
    </w:p>
    <w:p w:rsidR="00471874" w:rsidRDefault="00F7503B">
      <w:pPr>
        <w:pStyle w:val="Zkladntext"/>
        <w:spacing w:before="85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471874" w:rsidRDefault="00471874">
      <w:pPr>
        <w:pStyle w:val="Zkladntext"/>
        <w:ind w:left="0"/>
        <w:jc w:val="left"/>
        <w:rPr>
          <w:sz w:val="26"/>
        </w:rPr>
      </w:pPr>
    </w:p>
    <w:p w:rsidR="00471874" w:rsidRDefault="00471874">
      <w:pPr>
        <w:pStyle w:val="Zkladntext"/>
        <w:spacing w:before="2"/>
        <w:ind w:left="0"/>
        <w:jc w:val="left"/>
        <w:rPr>
          <w:sz w:val="21"/>
        </w:rPr>
      </w:pPr>
    </w:p>
    <w:p w:rsidR="00471874" w:rsidRDefault="00F7503B">
      <w:pPr>
        <w:pStyle w:val="Nadpis1"/>
        <w:spacing w:before="1" w:line="264" w:lineRule="auto"/>
        <w:ind w:left="382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471874" w:rsidRDefault="00471874">
      <w:pPr>
        <w:pStyle w:val="Zkladntext"/>
        <w:spacing w:before="1"/>
        <w:ind w:left="0"/>
        <w:jc w:val="left"/>
        <w:rPr>
          <w:b/>
          <w:sz w:val="27"/>
        </w:rPr>
      </w:pP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</w:t>
      </w:r>
      <w:r>
        <w:rPr>
          <w:sz w:val="20"/>
        </w:rPr>
        <w:t>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i)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při</w:t>
      </w:r>
      <w:r>
        <w:rPr>
          <w:spacing w:val="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6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471874" w:rsidRDefault="00F7503B">
      <w:pPr>
        <w:pStyle w:val="Zkladntext"/>
        <w:spacing w:before="1" w:line="264" w:lineRule="auto"/>
        <w:ind w:left="809" w:right="110"/>
      </w:pPr>
      <w:r>
        <w:t xml:space="preserve">„veřejné zakázky“), </w:t>
      </w:r>
      <w:r>
        <w:t>zejména v nedodržení postupu podle zákona č. 134/2016 Sb., o zadávání</w:t>
      </w:r>
      <w:r>
        <w:rPr>
          <w:spacing w:val="-37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6"/>
        </w:rPr>
        <w:t xml:space="preserve"> </w:t>
      </w:r>
      <w:r>
        <w:t>Sb.,</w:t>
      </w:r>
    </w:p>
    <w:p w:rsidR="00471874" w:rsidRDefault="00F7503B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souhrnně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</w:t>
      </w:r>
      <w:r>
        <w:t>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11" w:hanging="632"/>
        <w:jc w:val="both"/>
        <w:rPr>
          <w:sz w:val="20"/>
        </w:rPr>
      </w:pPr>
      <w:r>
        <w:rPr>
          <w:sz w:val="20"/>
        </w:rPr>
        <w:t>Pokud je možné</w:t>
      </w:r>
      <w:r>
        <w:rPr>
          <w:sz w:val="20"/>
        </w:rPr>
        <w:t xml:space="preserve"> přesně vyčíslit finanční dopad identifikovaného porušení, bude finanční oprava stanovena ve výši vyčísleného finančního dopadu. V případě, že není možné přesně vyčíslit finanční dopad identifikovaného porušení, bude finanční oprava stanovena podle typu po</w:t>
      </w:r>
      <w:r>
        <w:rPr>
          <w:sz w:val="20"/>
        </w:rPr>
        <w:t>rušení, viz tabulka níže.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6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1" w:hanging="596"/>
        <w:jc w:val="both"/>
        <w:rPr>
          <w:sz w:val="20"/>
        </w:rPr>
      </w:pPr>
      <w:r>
        <w:rPr>
          <w:sz w:val="20"/>
        </w:rPr>
        <w:t>V případě, že u veřejné zakázky bude identifikováno ví</w:t>
      </w:r>
      <w:r>
        <w:rPr>
          <w:sz w:val="20"/>
        </w:rPr>
        <w:t>ce porušení, výše finančních oprav stanovených za jednotlivá porušení se nesčítají a výsledná finanční oprava je stanovena s ohledem na nejzávažnější porušení.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</w:t>
      </w:r>
      <w:r>
        <w:rPr>
          <w:sz w:val="20"/>
        </w:rPr>
        <w:t>u 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5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3"/>
          <w:sz w:val="20"/>
        </w:rPr>
        <w:t xml:space="preserve"> </w:t>
      </w:r>
      <w:r>
        <w:rPr>
          <w:sz w:val="20"/>
        </w:rPr>
        <w:t>zadána.</w:t>
      </w:r>
    </w:p>
    <w:p w:rsidR="00471874" w:rsidRDefault="00F7503B">
      <w:pPr>
        <w:pStyle w:val="Odstavecseseznamem"/>
        <w:numPr>
          <w:ilvl w:val="0"/>
          <w:numId w:val="1"/>
        </w:numPr>
        <w:tabs>
          <w:tab w:val="left" w:pos="810"/>
        </w:tabs>
        <w:spacing w:before="122"/>
        <w:ind w:hanging="702"/>
        <w:jc w:val="both"/>
        <w:rPr>
          <w:sz w:val="20"/>
        </w:rPr>
      </w:pPr>
      <w:r>
        <w:rPr>
          <w:sz w:val="20"/>
        </w:rPr>
        <w:t xml:space="preserve">V případě, že bude identifikováno porušení, </w:t>
      </w:r>
      <w:r>
        <w:rPr>
          <w:sz w:val="20"/>
        </w:rPr>
        <w:t>které nelze podřadit pod konkrétní typ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</w:t>
      </w:r>
    </w:p>
    <w:p w:rsidR="00471874" w:rsidRDefault="00F7503B">
      <w:pPr>
        <w:pStyle w:val="Zkladntext"/>
        <w:spacing w:before="26"/>
        <w:ind w:left="809"/>
      </w:pPr>
      <w:r>
        <w:t>v tabulce níže, bude stanovena finanční oprava dle zásady přiměřenosti.</w:t>
      </w:r>
    </w:p>
    <w:p w:rsidR="00471874" w:rsidRDefault="00471874">
      <w:pPr>
        <w:sectPr w:rsidR="00471874">
          <w:pgSz w:w="12240" w:h="15840"/>
          <w:pgMar w:top="14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7187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71874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71874" w:rsidRDefault="00F7503B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471874" w:rsidRDefault="00F750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471874" w:rsidRDefault="00F7503B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7187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471874" w:rsidRDefault="00F7503B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47187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471874" w:rsidRDefault="00F7503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471874" w:rsidRDefault="00F7503B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471874" w:rsidRDefault="00F7503B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471874" w:rsidRDefault="00F7503B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71874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471874" w:rsidRDefault="00F7503B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47187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471874" w:rsidRDefault="00F7503B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471874" w:rsidRDefault="00F7503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471874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471874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471874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471874" w:rsidRDefault="00F7503B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471874" w:rsidRDefault="00F7503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471874" w:rsidRDefault="00F7503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471874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471874" w:rsidRDefault="00F7503B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471874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71874" w:rsidRDefault="00F7503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471874" w:rsidRDefault="00F7503B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471874" w:rsidRDefault="00471874">
      <w:pPr>
        <w:spacing w:line="261" w:lineRule="auto"/>
        <w:rPr>
          <w:sz w:val="20"/>
        </w:rPr>
        <w:sectPr w:rsidR="00471874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7187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7187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471874" w:rsidRDefault="00F7503B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471874" w:rsidRDefault="00F7503B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471874" w:rsidRDefault="00F7503B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471874" w:rsidRDefault="00F7503B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471874" w:rsidRDefault="00F7503B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7187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471874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471874" w:rsidRDefault="00F7503B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471874" w:rsidRDefault="00F7503B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471874" w:rsidRDefault="00F7503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7187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471874" w:rsidRDefault="00F7503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71874" w:rsidRDefault="00F7503B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471874" w:rsidRDefault="00F7503B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471874" w:rsidRDefault="00F7503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47187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471874" w:rsidRDefault="00F7503B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471874" w:rsidRDefault="00F7503B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471874" w:rsidRDefault="00F7503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471874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471874" w:rsidRDefault="00F7503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471874" w:rsidRDefault="00F7503B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71874" w:rsidRDefault="00F7503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471874" w:rsidRDefault="00471874">
      <w:pPr>
        <w:spacing w:line="264" w:lineRule="auto"/>
        <w:rPr>
          <w:sz w:val="20"/>
        </w:rPr>
        <w:sectPr w:rsidR="00471874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7187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7187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471874" w:rsidRDefault="00F7503B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7187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471874" w:rsidRDefault="00F7503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471874" w:rsidRDefault="00F7503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471874" w:rsidRDefault="00F7503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471874" w:rsidRDefault="00F7503B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71874" w:rsidRDefault="00F7503B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71874" w:rsidRDefault="00F7503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7187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471874" w:rsidRDefault="00F7503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7187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47187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47187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71874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471874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71874" w:rsidRDefault="00F7503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471874" w:rsidRDefault="00F7503B">
            <w:pPr>
              <w:pStyle w:val="TableParagraph"/>
              <w:spacing w:before="1" w:line="264" w:lineRule="auto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 kvalifikaci, pravidla pro hodnocení, obchodní podmínky nebo jiné</w:t>
            </w:r>
          </w:p>
          <w:p w:rsidR="00471874" w:rsidRDefault="00F7503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71874" w:rsidRDefault="00F7503B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71874" w:rsidRDefault="00F7503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71874" w:rsidRDefault="00F7503B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471874" w:rsidRDefault="00471874">
      <w:pPr>
        <w:spacing w:line="264" w:lineRule="auto"/>
        <w:rPr>
          <w:sz w:val="20"/>
        </w:rPr>
        <w:sectPr w:rsidR="00471874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7187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71874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71874" w:rsidRDefault="0047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7187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71874" w:rsidRDefault="00F7503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471874" w:rsidRDefault="00F7503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471874" w:rsidRDefault="00F7503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71874" w:rsidRDefault="00F750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71874" w:rsidRDefault="00F7503B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471874" w:rsidRDefault="00F7503B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71874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471874" w:rsidRDefault="00F7503B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471874" w:rsidRDefault="00F750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471874" w:rsidRDefault="00F7503B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471874" w:rsidRDefault="00F7503B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471874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471874" w:rsidRDefault="00F7503B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71874" w:rsidRDefault="00F7503B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71874" w:rsidRDefault="00471874">
      <w:pPr>
        <w:rPr>
          <w:sz w:val="20"/>
        </w:rPr>
        <w:sectPr w:rsidR="00471874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7187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71874" w:rsidRDefault="00F7503B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471874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471874" w:rsidRDefault="00F7503B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471874" w:rsidRDefault="00F750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471874" w:rsidRDefault="00F7503B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471874" w:rsidRDefault="00F7503B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471874" w:rsidRDefault="00F7503B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471874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471874" w:rsidRDefault="00F7503B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471874" w:rsidRDefault="00F7503B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 w:right="272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471874" w:rsidRDefault="00F7503B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471874" w:rsidRDefault="00F7503B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47187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471874" w:rsidRDefault="00F7503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71874" w:rsidRDefault="00F7503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471874" w:rsidRDefault="00F7503B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471874" w:rsidRDefault="00F7503B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471874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71874" w:rsidRDefault="00F7503B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471874" w:rsidRDefault="00F7503B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471874" w:rsidRDefault="00F7503B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471874" w:rsidRDefault="00F7503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71874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1874" w:rsidRDefault="00F7503B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471874" w:rsidRDefault="00F7503B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471874" w:rsidRDefault="00F7503B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471874" w:rsidRDefault="00F750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nezajištění nezbytné auditní</w:t>
            </w:r>
          </w:p>
          <w:p w:rsidR="00471874" w:rsidRDefault="00F750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1874" w:rsidRDefault="00F7503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71874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71874" w:rsidRDefault="0047187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71874" w:rsidRDefault="00F7503B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471874" w:rsidRDefault="00F7503B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F7503B" w:rsidRDefault="00F7503B"/>
    <w:sectPr w:rsidR="00F7503B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3B" w:rsidRDefault="00F7503B">
      <w:r>
        <w:separator/>
      </w:r>
    </w:p>
  </w:endnote>
  <w:endnote w:type="continuationSeparator" w:id="0">
    <w:p w:rsidR="00F7503B" w:rsidRDefault="00F7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74" w:rsidRDefault="00F7503B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471874" w:rsidRDefault="00F7503B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41E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3B" w:rsidRDefault="00F7503B">
      <w:r>
        <w:separator/>
      </w:r>
    </w:p>
  </w:footnote>
  <w:footnote w:type="continuationSeparator" w:id="0">
    <w:p w:rsidR="00F7503B" w:rsidRDefault="00F7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8E3"/>
    <w:multiLevelType w:val="hybridMultilevel"/>
    <w:tmpl w:val="8116931A"/>
    <w:lvl w:ilvl="0" w:tplc="CE8ECC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6804C46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8BEEB28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F3FCAC4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88F8FBE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9CF881D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4D8C4964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F844C99C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EA02071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901245C"/>
    <w:multiLevelType w:val="hybridMultilevel"/>
    <w:tmpl w:val="0CE2B944"/>
    <w:lvl w:ilvl="0" w:tplc="ED1E26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BFE877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014AB5C8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4186062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660A1A0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F516E3F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7BE0AB8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F5F6964C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5A5CECD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C7A6532"/>
    <w:multiLevelType w:val="hybridMultilevel"/>
    <w:tmpl w:val="E7961876"/>
    <w:lvl w:ilvl="0" w:tplc="DB144B3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92E8D3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6E00618C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A46897D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8130A7F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921489C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1D826F8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4D04157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E3BC472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38C5D9E"/>
    <w:multiLevelType w:val="hybridMultilevel"/>
    <w:tmpl w:val="6F0A69DE"/>
    <w:lvl w:ilvl="0" w:tplc="F63CF13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D2CF02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9A6F24E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59B88134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42F05322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A88C8020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EB665C4C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592441F4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93407B66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5346DF1"/>
    <w:multiLevelType w:val="hybridMultilevel"/>
    <w:tmpl w:val="036CAB36"/>
    <w:lvl w:ilvl="0" w:tplc="D2687D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6BE171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3B24403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2A16FD4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31BAFB5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9FB0B2F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447A88F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EA32172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D1C4C21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C8F78A1"/>
    <w:multiLevelType w:val="hybridMultilevel"/>
    <w:tmpl w:val="EFB6CBD4"/>
    <w:lvl w:ilvl="0" w:tplc="1898D1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3CAAEDE">
      <w:start w:val="1"/>
      <w:numFmt w:val="lowerLetter"/>
      <w:lvlText w:val="%2)"/>
      <w:lvlJc w:val="left"/>
      <w:pPr>
        <w:ind w:left="1025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5BABFBE">
      <w:numFmt w:val="bullet"/>
      <w:lvlText w:val="•"/>
      <w:lvlJc w:val="left"/>
      <w:pPr>
        <w:ind w:left="1020" w:hanging="360"/>
      </w:pPr>
      <w:rPr>
        <w:rFonts w:hint="default"/>
        <w:lang w:val="cs-CZ" w:eastAsia="cs-CZ" w:bidi="cs-CZ"/>
      </w:rPr>
    </w:lvl>
    <w:lvl w:ilvl="3" w:tplc="7EAE3946">
      <w:numFmt w:val="bullet"/>
      <w:lvlText w:val="•"/>
      <w:lvlJc w:val="left"/>
      <w:pPr>
        <w:ind w:left="1100" w:hanging="360"/>
      </w:pPr>
      <w:rPr>
        <w:rFonts w:hint="default"/>
        <w:lang w:val="cs-CZ" w:eastAsia="cs-CZ" w:bidi="cs-CZ"/>
      </w:rPr>
    </w:lvl>
    <w:lvl w:ilvl="4" w:tplc="B27A8896">
      <w:numFmt w:val="bullet"/>
      <w:lvlText w:val="•"/>
      <w:lvlJc w:val="left"/>
      <w:pPr>
        <w:ind w:left="1400" w:hanging="360"/>
      </w:pPr>
      <w:rPr>
        <w:rFonts w:hint="default"/>
        <w:lang w:val="cs-CZ" w:eastAsia="cs-CZ" w:bidi="cs-CZ"/>
      </w:rPr>
    </w:lvl>
    <w:lvl w:ilvl="5" w:tplc="4AC2574E">
      <w:numFmt w:val="bullet"/>
      <w:lvlText w:val="•"/>
      <w:lvlJc w:val="left"/>
      <w:pPr>
        <w:ind w:left="2816" w:hanging="360"/>
      </w:pPr>
      <w:rPr>
        <w:rFonts w:hint="default"/>
        <w:lang w:val="cs-CZ" w:eastAsia="cs-CZ" w:bidi="cs-CZ"/>
      </w:rPr>
    </w:lvl>
    <w:lvl w:ilvl="6" w:tplc="A71458A4">
      <w:numFmt w:val="bullet"/>
      <w:lvlText w:val="•"/>
      <w:lvlJc w:val="left"/>
      <w:pPr>
        <w:ind w:left="4233" w:hanging="360"/>
      </w:pPr>
      <w:rPr>
        <w:rFonts w:hint="default"/>
        <w:lang w:val="cs-CZ" w:eastAsia="cs-CZ" w:bidi="cs-CZ"/>
      </w:rPr>
    </w:lvl>
    <w:lvl w:ilvl="7" w:tplc="26502986">
      <w:numFmt w:val="bullet"/>
      <w:lvlText w:val="•"/>
      <w:lvlJc w:val="left"/>
      <w:pPr>
        <w:ind w:left="5650" w:hanging="360"/>
      </w:pPr>
      <w:rPr>
        <w:rFonts w:hint="default"/>
        <w:lang w:val="cs-CZ" w:eastAsia="cs-CZ" w:bidi="cs-CZ"/>
      </w:rPr>
    </w:lvl>
    <w:lvl w:ilvl="8" w:tplc="88B61D68">
      <w:numFmt w:val="bullet"/>
      <w:lvlText w:val="•"/>
      <w:lvlJc w:val="left"/>
      <w:pPr>
        <w:ind w:left="7066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8A220F6"/>
    <w:multiLevelType w:val="hybridMultilevel"/>
    <w:tmpl w:val="472006FA"/>
    <w:lvl w:ilvl="0" w:tplc="DDD24FBA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7CC4046">
      <w:numFmt w:val="bullet"/>
      <w:lvlText w:val="•"/>
      <w:lvlJc w:val="left"/>
      <w:pPr>
        <w:ind w:left="960" w:hanging="524"/>
      </w:pPr>
      <w:rPr>
        <w:rFonts w:hint="default"/>
        <w:lang w:val="cs-CZ" w:eastAsia="cs-CZ" w:bidi="cs-CZ"/>
      </w:rPr>
    </w:lvl>
    <w:lvl w:ilvl="2" w:tplc="1FE88CEE">
      <w:numFmt w:val="bullet"/>
      <w:lvlText w:val="•"/>
      <w:lvlJc w:val="left"/>
      <w:pPr>
        <w:ind w:left="1953" w:hanging="524"/>
      </w:pPr>
      <w:rPr>
        <w:rFonts w:hint="default"/>
        <w:lang w:val="cs-CZ" w:eastAsia="cs-CZ" w:bidi="cs-CZ"/>
      </w:rPr>
    </w:lvl>
    <w:lvl w:ilvl="3" w:tplc="297E45FE">
      <w:numFmt w:val="bullet"/>
      <w:lvlText w:val="•"/>
      <w:lvlJc w:val="left"/>
      <w:pPr>
        <w:ind w:left="2946" w:hanging="524"/>
      </w:pPr>
      <w:rPr>
        <w:rFonts w:hint="default"/>
        <w:lang w:val="cs-CZ" w:eastAsia="cs-CZ" w:bidi="cs-CZ"/>
      </w:rPr>
    </w:lvl>
    <w:lvl w:ilvl="4" w:tplc="773CB650">
      <w:numFmt w:val="bullet"/>
      <w:lvlText w:val="•"/>
      <w:lvlJc w:val="left"/>
      <w:pPr>
        <w:ind w:left="3940" w:hanging="524"/>
      </w:pPr>
      <w:rPr>
        <w:rFonts w:hint="default"/>
        <w:lang w:val="cs-CZ" w:eastAsia="cs-CZ" w:bidi="cs-CZ"/>
      </w:rPr>
    </w:lvl>
    <w:lvl w:ilvl="5" w:tplc="A930010E">
      <w:numFmt w:val="bullet"/>
      <w:lvlText w:val="•"/>
      <w:lvlJc w:val="left"/>
      <w:pPr>
        <w:ind w:left="4933" w:hanging="524"/>
      </w:pPr>
      <w:rPr>
        <w:rFonts w:hint="default"/>
        <w:lang w:val="cs-CZ" w:eastAsia="cs-CZ" w:bidi="cs-CZ"/>
      </w:rPr>
    </w:lvl>
    <w:lvl w:ilvl="6" w:tplc="B718B188">
      <w:numFmt w:val="bullet"/>
      <w:lvlText w:val="•"/>
      <w:lvlJc w:val="left"/>
      <w:pPr>
        <w:ind w:left="5926" w:hanging="524"/>
      </w:pPr>
      <w:rPr>
        <w:rFonts w:hint="default"/>
        <w:lang w:val="cs-CZ" w:eastAsia="cs-CZ" w:bidi="cs-CZ"/>
      </w:rPr>
    </w:lvl>
    <w:lvl w:ilvl="7" w:tplc="34506F5A">
      <w:numFmt w:val="bullet"/>
      <w:lvlText w:val="•"/>
      <w:lvlJc w:val="left"/>
      <w:pPr>
        <w:ind w:left="6920" w:hanging="524"/>
      </w:pPr>
      <w:rPr>
        <w:rFonts w:hint="default"/>
        <w:lang w:val="cs-CZ" w:eastAsia="cs-CZ" w:bidi="cs-CZ"/>
      </w:rPr>
    </w:lvl>
    <w:lvl w:ilvl="8" w:tplc="293A0810">
      <w:numFmt w:val="bullet"/>
      <w:lvlText w:val="•"/>
      <w:lvlJc w:val="left"/>
      <w:pPr>
        <w:ind w:left="7913" w:hanging="52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1874"/>
    <w:rsid w:val="00471874"/>
    <w:rsid w:val="004841ED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051B60"/>
  <w15:docId w15:val="{25777B9C-566B-4AC6-84D5-A4421969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8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4699</Words>
  <Characters>27725</Characters>
  <Application>Microsoft Office Word</Application>
  <DocSecurity>0</DocSecurity>
  <Lines>231</Lines>
  <Paragraphs>64</Paragraphs>
  <ScaleCrop>false</ScaleCrop>
  <Company>SFZP</Company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2021-08-19T06:52:00Z</dcterms:created>
  <dcterms:modified xsi:type="dcterms:W3CDTF">2021-08-19T06:52:00Z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2021-08-19T00:00:00Z</vt:filetime>
  </property>
</Properties>
</file>