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201E2" w14:textId="5AABEAD6" w:rsidR="00982A9F" w:rsidRPr="00A64527" w:rsidRDefault="007977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Zásady provádění díla</w:t>
      </w:r>
      <w:r w:rsidR="006E74AD" w:rsidRPr="00A645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7D7402" w14:textId="105CECAF" w:rsidR="00BA5B8C" w:rsidRPr="00A64527" w:rsidRDefault="00BA5B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4527">
        <w:rPr>
          <w:rFonts w:ascii="Times New Roman" w:hAnsi="Times New Roman" w:cs="Times New Roman"/>
          <w:b/>
          <w:bCs/>
          <w:sz w:val="28"/>
          <w:szCs w:val="28"/>
        </w:rPr>
        <w:t>„Rekonstrukce střechy krematoria Strašnice“</w:t>
      </w:r>
    </w:p>
    <w:p w14:paraId="6DEE6B6B" w14:textId="77777777" w:rsidR="00D14900" w:rsidRPr="00A64527" w:rsidRDefault="00D14900" w:rsidP="00696078">
      <w:pPr>
        <w:pStyle w:val="Tex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FFECE" w14:textId="26EC8E0E" w:rsidR="007667D5" w:rsidRPr="00A64527" w:rsidRDefault="00676631" w:rsidP="0069056B">
      <w:pPr>
        <w:pStyle w:val="Tex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4527">
        <w:rPr>
          <w:rFonts w:ascii="Times New Roman" w:hAnsi="Times New Roman" w:cs="Times New Roman"/>
          <w:sz w:val="24"/>
          <w:szCs w:val="24"/>
        </w:rPr>
        <w:t>Objekt je zapsán jako nemovitá kulturní památka.</w:t>
      </w:r>
      <w:r w:rsidR="004D0AF9" w:rsidRPr="00A64527">
        <w:rPr>
          <w:rFonts w:ascii="Times New Roman" w:hAnsi="Times New Roman" w:cs="Times New Roman"/>
          <w:sz w:val="24"/>
          <w:szCs w:val="24"/>
        </w:rPr>
        <w:t xml:space="preserve"> </w:t>
      </w:r>
      <w:r w:rsidR="0050772C" w:rsidRPr="00A64527">
        <w:rPr>
          <w:rFonts w:ascii="Times New Roman" w:hAnsi="Times New Roman" w:cs="Times New Roman"/>
          <w:sz w:val="24"/>
          <w:szCs w:val="24"/>
        </w:rPr>
        <w:t>Zhotovitel zajistí</w:t>
      </w:r>
      <w:r w:rsidR="00797752">
        <w:rPr>
          <w:rFonts w:ascii="Times New Roman" w:hAnsi="Times New Roman" w:cs="Times New Roman"/>
          <w:sz w:val="24"/>
          <w:szCs w:val="24"/>
        </w:rPr>
        <w:t xml:space="preserve"> každodenní</w:t>
      </w:r>
      <w:r w:rsidR="0050772C" w:rsidRPr="00A64527">
        <w:rPr>
          <w:rFonts w:ascii="Times New Roman" w:hAnsi="Times New Roman" w:cs="Times New Roman"/>
          <w:sz w:val="24"/>
          <w:szCs w:val="24"/>
        </w:rPr>
        <w:t xml:space="preserve"> fotodokumentaci stavby po celou dobu provádění prací a po ukončení prací ji předá zadavateli 1x v tištěné podobě pro předání na NPU, 1x na USB </w:t>
      </w:r>
      <w:r w:rsidR="006E74AD" w:rsidRPr="00A64527">
        <w:rPr>
          <w:rFonts w:ascii="Times New Roman" w:hAnsi="Times New Roman" w:cs="Times New Roman"/>
          <w:sz w:val="24"/>
          <w:szCs w:val="24"/>
        </w:rPr>
        <w:t>disku</w:t>
      </w:r>
      <w:r w:rsidR="007667D5" w:rsidRPr="00A645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3211F8" w14:textId="77777777" w:rsidR="007667D5" w:rsidRPr="00A64527" w:rsidRDefault="007667D5" w:rsidP="007667D5">
      <w:pPr>
        <w:pStyle w:val="TextA"/>
        <w:rPr>
          <w:rFonts w:ascii="Times New Roman" w:hAnsi="Times New Roman" w:cs="Times New Roman"/>
          <w:sz w:val="24"/>
          <w:szCs w:val="24"/>
        </w:rPr>
      </w:pPr>
    </w:p>
    <w:p w14:paraId="7164D3EB" w14:textId="7700C084" w:rsidR="007667D5" w:rsidRPr="00A64527" w:rsidRDefault="0022605E" w:rsidP="0069056B">
      <w:pPr>
        <w:pStyle w:val="Tex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4527">
        <w:rPr>
          <w:rFonts w:ascii="Times New Roman" w:hAnsi="Times New Roman" w:cs="Times New Roman"/>
          <w:sz w:val="24"/>
          <w:szCs w:val="24"/>
        </w:rPr>
        <w:t>Pro zabránění zatečení vody je nutné d</w:t>
      </w:r>
      <w:r w:rsidRPr="00A64527">
        <w:rPr>
          <w:rFonts w:ascii="Times New Roman" w:hAnsi="Times New Roman" w:cs="Times New Roman"/>
          <w:sz w:val="24"/>
          <w:szCs w:val="24"/>
          <w:u w:val="single"/>
        </w:rPr>
        <w:t xml:space="preserve">ůsledné </w:t>
      </w:r>
      <w:r w:rsidRPr="00A64527">
        <w:rPr>
          <w:rFonts w:ascii="Times New Roman" w:hAnsi="Times New Roman" w:cs="Times New Roman"/>
          <w:sz w:val="24"/>
          <w:szCs w:val="24"/>
        </w:rPr>
        <w:t>zakrývání odkryté střechy.</w:t>
      </w:r>
    </w:p>
    <w:p w14:paraId="3CABB667" w14:textId="4422CA0B" w:rsidR="0050772C" w:rsidRPr="00A64527" w:rsidRDefault="0050772C" w:rsidP="0050772C">
      <w:pPr>
        <w:rPr>
          <w:rFonts w:ascii="Times New Roman" w:hAnsi="Times New Roman" w:cs="Times New Roman"/>
          <w:sz w:val="24"/>
          <w:szCs w:val="24"/>
        </w:rPr>
      </w:pPr>
    </w:p>
    <w:p w14:paraId="1560FBF0" w14:textId="2E21AB06" w:rsidR="00B27FA0" w:rsidRPr="00A64527" w:rsidRDefault="00C468A7" w:rsidP="0069056B">
      <w:pPr>
        <w:pStyle w:val="Tex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4527">
        <w:rPr>
          <w:rFonts w:ascii="Times New Roman" w:hAnsi="Times New Roman" w:cs="Times New Roman"/>
          <w:sz w:val="24"/>
          <w:szCs w:val="24"/>
        </w:rPr>
        <w:t>J</w:t>
      </w:r>
      <w:r w:rsidR="00B27FA0" w:rsidRPr="00A64527">
        <w:rPr>
          <w:rFonts w:ascii="Times New Roman" w:hAnsi="Times New Roman" w:cs="Times New Roman"/>
          <w:sz w:val="24"/>
          <w:szCs w:val="24"/>
        </w:rPr>
        <w:t xml:space="preserve">e třeba brát ohled na pietu místa a návštěvníky urnového háje. </w:t>
      </w:r>
      <w:r w:rsidR="0004209D" w:rsidRPr="00A64527">
        <w:rPr>
          <w:rFonts w:ascii="Times New Roman" w:hAnsi="Times New Roman" w:cs="Times New Roman"/>
          <w:sz w:val="24"/>
          <w:szCs w:val="24"/>
        </w:rPr>
        <w:t>Zhotovitel bude dbát na to, aby v co nejmenší míře omezil návštěv</w:t>
      </w:r>
      <w:r w:rsidRPr="00A64527">
        <w:rPr>
          <w:rFonts w:ascii="Times New Roman" w:hAnsi="Times New Roman" w:cs="Times New Roman"/>
          <w:sz w:val="24"/>
          <w:szCs w:val="24"/>
        </w:rPr>
        <w:t>níky obřadních síní a urnového háje</w:t>
      </w:r>
      <w:r w:rsidR="0004209D" w:rsidRPr="00A64527">
        <w:rPr>
          <w:rFonts w:ascii="Times New Roman" w:hAnsi="Times New Roman" w:cs="Times New Roman"/>
          <w:sz w:val="24"/>
          <w:szCs w:val="24"/>
        </w:rPr>
        <w:t xml:space="preserve">. </w:t>
      </w:r>
      <w:r w:rsidR="00B27FA0" w:rsidRPr="00A64527">
        <w:rPr>
          <w:rFonts w:ascii="Times New Roman" w:hAnsi="Times New Roman" w:cs="Times New Roman"/>
          <w:sz w:val="24"/>
          <w:szCs w:val="24"/>
        </w:rPr>
        <w:t xml:space="preserve">Zhotovitel je povinen náležitě poučit své zaměstnance o povinnosti pietního přístupu s ohledem na místo realizace díla a zabezpečit dodržování této povinnosti u svých pracovníků. </w:t>
      </w:r>
      <w:r w:rsidR="0067355C" w:rsidRPr="00A64527">
        <w:rPr>
          <w:rFonts w:ascii="Times New Roman" w:hAnsi="Times New Roman" w:cs="Times New Roman"/>
          <w:sz w:val="24"/>
          <w:szCs w:val="24"/>
        </w:rPr>
        <w:t>Zaměstnanci zhotovitele nesmí vstupovat do jiných prostor, než místa stavby a</w:t>
      </w:r>
      <w:r w:rsidR="004D0AF9" w:rsidRPr="00A64527">
        <w:rPr>
          <w:rFonts w:ascii="Times New Roman" w:hAnsi="Times New Roman" w:cs="Times New Roman"/>
          <w:sz w:val="24"/>
          <w:szCs w:val="24"/>
        </w:rPr>
        <w:t xml:space="preserve"> určených prostor.</w:t>
      </w:r>
    </w:p>
    <w:p w14:paraId="4170F70C" w14:textId="77777777" w:rsidR="004D0AF9" w:rsidRPr="00A64527" w:rsidRDefault="004D0AF9" w:rsidP="004D0AF9">
      <w:pPr>
        <w:pStyle w:val="TextA"/>
        <w:rPr>
          <w:rFonts w:ascii="Times New Roman" w:hAnsi="Times New Roman" w:cs="Times New Roman"/>
          <w:sz w:val="24"/>
          <w:szCs w:val="24"/>
        </w:rPr>
      </w:pPr>
    </w:p>
    <w:p w14:paraId="12508668" w14:textId="4B2FD70F" w:rsidR="00B27FA0" w:rsidRPr="00A64527" w:rsidRDefault="0050772C" w:rsidP="0069056B">
      <w:pPr>
        <w:pStyle w:val="Tex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4527">
        <w:rPr>
          <w:rFonts w:ascii="Times New Roman" w:hAnsi="Times New Roman" w:cs="Times New Roman"/>
          <w:sz w:val="24"/>
          <w:szCs w:val="24"/>
        </w:rPr>
        <w:t>M</w:t>
      </w:r>
      <w:r w:rsidR="00B27FA0" w:rsidRPr="00A64527">
        <w:rPr>
          <w:rFonts w:ascii="Times New Roman" w:hAnsi="Times New Roman" w:cs="Times New Roman"/>
          <w:sz w:val="24"/>
          <w:szCs w:val="24"/>
        </w:rPr>
        <w:t xml:space="preserve">ísto stavby není prosto práv třetích osob. V těsné blízkosti </w:t>
      </w:r>
      <w:r w:rsidR="004D0AF9" w:rsidRPr="00A64527">
        <w:rPr>
          <w:rFonts w:ascii="Times New Roman" w:hAnsi="Times New Roman" w:cs="Times New Roman"/>
          <w:sz w:val="24"/>
          <w:szCs w:val="24"/>
        </w:rPr>
        <w:t xml:space="preserve">budovy </w:t>
      </w:r>
      <w:r w:rsidR="00B27FA0" w:rsidRPr="00A64527">
        <w:rPr>
          <w:rFonts w:ascii="Times New Roman" w:hAnsi="Times New Roman" w:cs="Times New Roman"/>
          <w:sz w:val="24"/>
          <w:szCs w:val="24"/>
        </w:rPr>
        <w:t xml:space="preserve">krematoria jsou urnové hroby, které nesmí být narušeny při </w:t>
      </w:r>
      <w:r w:rsidR="004D0AF9" w:rsidRPr="00A64527">
        <w:rPr>
          <w:rFonts w:ascii="Times New Roman" w:hAnsi="Times New Roman" w:cs="Times New Roman"/>
          <w:sz w:val="24"/>
          <w:szCs w:val="24"/>
        </w:rPr>
        <w:t xml:space="preserve">případné </w:t>
      </w:r>
      <w:r w:rsidR="00B27FA0" w:rsidRPr="00A64527">
        <w:rPr>
          <w:rFonts w:ascii="Times New Roman" w:hAnsi="Times New Roman" w:cs="Times New Roman"/>
          <w:sz w:val="24"/>
          <w:szCs w:val="24"/>
        </w:rPr>
        <w:t xml:space="preserve">stavbě lešení. Bude-li nutné některé hroby ochránit proti poškození zakrytím, musí to zhotovitel avizovat vedení krematoria v dostatečném předstihu. </w:t>
      </w:r>
    </w:p>
    <w:p w14:paraId="1DD9C99A" w14:textId="77777777" w:rsidR="004D0AF9" w:rsidRPr="00A64527" w:rsidRDefault="004D0AF9" w:rsidP="00B27FA0">
      <w:pPr>
        <w:rPr>
          <w:rFonts w:ascii="Times New Roman" w:hAnsi="Times New Roman" w:cs="Times New Roman"/>
          <w:sz w:val="24"/>
          <w:szCs w:val="24"/>
        </w:rPr>
      </w:pPr>
    </w:p>
    <w:p w14:paraId="1AFF6555" w14:textId="3FE738AE" w:rsidR="000C5A65" w:rsidRPr="00A64527" w:rsidRDefault="0050772C" w:rsidP="0069056B">
      <w:pPr>
        <w:pStyle w:val="Odstavecseseznamem"/>
        <w:numPr>
          <w:ilvl w:val="0"/>
          <w:numId w:val="5"/>
        </w:numPr>
        <w:rPr>
          <w:lang w:val="cs-CZ"/>
        </w:rPr>
      </w:pPr>
      <w:r w:rsidRPr="00A64527">
        <w:rPr>
          <w:lang w:val="cs-CZ"/>
        </w:rPr>
        <w:t>P</w:t>
      </w:r>
      <w:r w:rsidR="00B27FA0" w:rsidRPr="00A64527">
        <w:rPr>
          <w:lang w:val="cs-CZ"/>
        </w:rPr>
        <w:t xml:space="preserve">ráce budou probíhat bez přerušení provozu obřadních síní. </w:t>
      </w:r>
      <w:r w:rsidR="0067355C" w:rsidRPr="00A64527">
        <w:rPr>
          <w:lang w:val="cs-CZ"/>
        </w:rPr>
        <w:t xml:space="preserve">Hlučné práce bude nutné provádět přednostně odpoledne </w:t>
      </w:r>
      <w:r w:rsidR="002A38A5">
        <w:rPr>
          <w:lang w:val="cs-CZ"/>
        </w:rPr>
        <w:t xml:space="preserve">po 13,00 hod., </w:t>
      </w:r>
      <w:r w:rsidR="0067355C" w:rsidRPr="00A64527">
        <w:rPr>
          <w:lang w:val="cs-CZ"/>
        </w:rPr>
        <w:t xml:space="preserve">a o sobotách a nedělích. </w:t>
      </w:r>
      <w:r w:rsidR="0067355C" w:rsidRPr="00A64527">
        <w:rPr>
          <w:u w:val="single"/>
          <w:lang w:val="cs-CZ"/>
        </w:rPr>
        <w:t xml:space="preserve">Hlučné práce budou vždy schváleny vedením krematoria (vedoucí </w:t>
      </w:r>
      <w:r w:rsidR="0092610E" w:rsidRPr="0092610E">
        <w:rPr>
          <w:b/>
          <w:u w:val="single"/>
          <w:lang w:val="cs-CZ"/>
        </w:rPr>
        <w:t>XXXXXXXXXXXXXX</w:t>
      </w:r>
      <w:r w:rsidR="0067355C" w:rsidRPr="0092610E">
        <w:rPr>
          <w:u w:val="single"/>
          <w:lang w:val="cs-CZ"/>
        </w:rPr>
        <w:t>,</w:t>
      </w:r>
      <w:r w:rsidR="0067355C" w:rsidRPr="00A64527">
        <w:rPr>
          <w:u w:val="single"/>
          <w:lang w:val="cs-CZ"/>
        </w:rPr>
        <w:t xml:space="preserve"> nebo zástupce vedoucího pan </w:t>
      </w:r>
      <w:bookmarkStart w:id="0" w:name="_GoBack"/>
      <w:r w:rsidR="0092610E" w:rsidRPr="0092610E">
        <w:rPr>
          <w:b/>
          <w:u w:val="single"/>
          <w:lang w:val="cs-CZ"/>
        </w:rPr>
        <w:t>XXXXXXXXXXX</w:t>
      </w:r>
      <w:bookmarkEnd w:id="0"/>
      <w:r w:rsidR="0067355C" w:rsidRPr="00A64527">
        <w:rPr>
          <w:u w:val="single"/>
          <w:lang w:val="cs-CZ"/>
        </w:rPr>
        <w:t>).</w:t>
      </w:r>
      <w:r w:rsidR="0067355C" w:rsidRPr="00A64527">
        <w:rPr>
          <w:lang w:val="cs-CZ"/>
        </w:rPr>
        <w:t xml:space="preserve"> </w:t>
      </w:r>
      <w:r w:rsidR="00B27FA0" w:rsidRPr="00A64527">
        <w:rPr>
          <w:lang w:val="cs-CZ"/>
        </w:rPr>
        <w:t>Případné přerušení provozu je nutné minimálně týden dopředu konzultovat s vedoucím krematoria</w:t>
      </w:r>
      <w:r w:rsidR="0067355C" w:rsidRPr="00A64527">
        <w:rPr>
          <w:lang w:val="cs-CZ"/>
        </w:rPr>
        <w:t xml:space="preserve"> a bude možné dohodnou</w:t>
      </w:r>
      <w:r w:rsidR="000C5A65" w:rsidRPr="00A64527">
        <w:rPr>
          <w:lang w:val="cs-CZ"/>
        </w:rPr>
        <w:t>t</w:t>
      </w:r>
      <w:r w:rsidR="0067355C" w:rsidRPr="00A64527">
        <w:rPr>
          <w:lang w:val="cs-CZ"/>
        </w:rPr>
        <w:t xml:space="preserve"> vždy jen na pondělí.   </w:t>
      </w:r>
    </w:p>
    <w:p w14:paraId="0C57D0C1" w14:textId="77777777" w:rsidR="0069056B" w:rsidRPr="00A64527" w:rsidRDefault="0069056B" w:rsidP="0069056B">
      <w:pPr>
        <w:pStyle w:val="Odstavecseseznamem"/>
        <w:rPr>
          <w:lang w:val="cs-CZ"/>
        </w:rPr>
      </w:pPr>
    </w:p>
    <w:p w14:paraId="5E0DCBC1" w14:textId="5FCEAD06" w:rsidR="00C92E94" w:rsidRPr="00A64527" w:rsidRDefault="00C468A7" w:rsidP="0069056B">
      <w:pPr>
        <w:pStyle w:val="Odstavecseseznamem"/>
        <w:numPr>
          <w:ilvl w:val="0"/>
          <w:numId w:val="5"/>
        </w:numPr>
        <w:rPr>
          <w:lang w:val="cs-CZ"/>
        </w:rPr>
      </w:pPr>
      <w:r w:rsidRPr="00A64527">
        <w:rPr>
          <w:lang w:val="cs-CZ"/>
        </w:rPr>
        <w:t xml:space="preserve">Výměna poškozených dřevěných prvků se předpokládá v rozsahu cca </w:t>
      </w:r>
      <w:r w:rsidR="004D0AF9" w:rsidRPr="00A64527">
        <w:rPr>
          <w:lang w:val="cs-CZ"/>
        </w:rPr>
        <w:t>25 %</w:t>
      </w:r>
      <w:r w:rsidRPr="00A64527">
        <w:rPr>
          <w:lang w:val="cs-CZ"/>
        </w:rPr>
        <w:t>.</w:t>
      </w:r>
      <w:r w:rsidR="004D0AF9" w:rsidRPr="00A64527">
        <w:rPr>
          <w:lang w:val="cs-CZ"/>
        </w:rPr>
        <w:t xml:space="preserve"> </w:t>
      </w:r>
      <w:r w:rsidR="00676631" w:rsidRPr="00A64527">
        <w:rPr>
          <w:lang w:val="cs-CZ"/>
        </w:rPr>
        <w:t>Pro upřesnění množství poškozeného dřevěného bednění zajistí dodavatel na své náklady mykologický průzkum</w:t>
      </w:r>
      <w:r w:rsidR="00C92E94" w:rsidRPr="00A64527">
        <w:rPr>
          <w:lang w:val="cs-CZ"/>
        </w:rPr>
        <w:t xml:space="preserve">. Z toho vyplývající snížení nebo zvýšení objemu prací musí být projednáno a odsouhlaseno předem </w:t>
      </w:r>
      <w:r w:rsidR="00D14900" w:rsidRPr="00A64527">
        <w:rPr>
          <w:lang w:val="cs-CZ"/>
        </w:rPr>
        <w:t xml:space="preserve">s TDI </w:t>
      </w:r>
      <w:r w:rsidR="00C92E94" w:rsidRPr="00A64527">
        <w:rPr>
          <w:lang w:val="cs-CZ"/>
        </w:rPr>
        <w:t>a použijí se jednotkové ceny uvedené v</w:t>
      </w:r>
      <w:r w:rsidRPr="00A64527">
        <w:rPr>
          <w:lang w:val="cs-CZ"/>
        </w:rPr>
        <w:t> </w:t>
      </w:r>
      <w:r w:rsidR="00C92E94" w:rsidRPr="00A64527">
        <w:rPr>
          <w:lang w:val="cs-CZ"/>
        </w:rPr>
        <w:t>nabídce</w:t>
      </w:r>
      <w:r w:rsidRPr="00A64527">
        <w:rPr>
          <w:lang w:val="cs-CZ"/>
        </w:rPr>
        <w:t>.</w:t>
      </w:r>
    </w:p>
    <w:p w14:paraId="51E9EF16" w14:textId="77777777" w:rsidR="0069056B" w:rsidRPr="00A64527" w:rsidRDefault="0069056B" w:rsidP="00C92E94">
      <w:pPr>
        <w:rPr>
          <w:rFonts w:ascii="Times New Roman" w:hAnsi="Times New Roman" w:cs="Times New Roman"/>
          <w:sz w:val="24"/>
          <w:szCs w:val="24"/>
        </w:rPr>
      </w:pPr>
    </w:p>
    <w:p w14:paraId="6D5CFD7A" w14:textId="4937A372" w:rsidR="00C92E94" w:rsidRDefault="00C92E94" w:rsidP="0069056B">
      <w:pPr>
        <w:pStyle w:val="Odstavecseseznamem"/>
        <w:numPr>
          <w:ilvl w:val="0"/>
          <w:numId w:val="5"/>
        </w:numPr>
        <w:rPr>
          <w:lang w:val="cs-CZ"/>
        </w:rPr>
      </w:pPr>
      <w:r w:rsidRPr="00A64527">
        <w:rPr>
          <w:lang w:val="cs-CZ"/>
        </w:rPr>
        <w:t>Pro přísun materiálu i odvoz vybouraného je možné použít jenom spodní vjezd na manipulační dvůr. Ten je určen přednostně pro navážení rakví</w:t>
      </w:r>
      <w:r w:rsidR="0004209D" w:rsidRPr="00A64527">
        <w:rPr>
          <w:lang w:val="cs-CZ"/>
        </w:rPr>
        <w:t xml:space="preserve"> a pohybují se zde i ostatní pohřební služby. Z tohoto důvodu si zhotovitel skladování materiálu </w:t>
      </w:r>
      <w:r w:rsidR="004D0AF9" w:rsidRPr="00A64527">
        <w:rPr>
          <w:lang w:val="cs-CZ"/>
        </w:rPr>
        <w:t xml:space="preserve">i sutě </w:t>
      </w:r>
      <w:r w:rsidR="0004209D" w:rsidRPr="00A64527">
        <w:rPr>
          <w:lang w:val="cs-CZ"/>
        </w:rPr>
        <w:t xml:space="preserve">zajistí přednostně na svých pozemcích. </w:t>
      </w:r>
      <w:r w:rsidR="00D14900" w:rsidRPr="00A64527">
        <w:rPr>
          <w:lang w:val="cs-CZ"/>
        </w:rPr>
        <w:t>Nutný p</w:t>
      </w:r>
      <w:r w:rsidR="0004209D" w:rsidRPr="00A64527">
        <w:rPr>
          <w:lang w:val="cs-CZ"/>
        </w:rPr>
        <w:t xml:space="preserve">rostor pro krátkodobé skladování </w:t>
      </w:r>
      <w:r w:rsidR="00D14900" w:rsidRPr="00A64527">
        <w:rPr>
          <w:lang w:val="cs-CZ"/>
        </w:rPr>
        <w:t xml:space="preserve">materiálu </w:t>
      </w:r>
      <w:r w:rsidR="0004209D" w:rsidRPr="00A64527">
        <w:rPr>
          <w:lang w:val="cs-CZ"/>
        </w:rPr>
        <w:t>na manipulačním dvoře vyhradí zhotoviteli vedoucí krematoria.</w:t>
      </w:r>
      <w:r w:rsidR="00D14900" w:rsidRPr="00A64527">
        <w:rPr>
          <w:lang w:val="cs-CZ"/>
        </w:rPr>
        <w:t xml:space="preserve"> Za složený materiál si ručí zhotovitel.</w:t>
      </w:r>
    </w:p>
    <w:p w14:paraId="055A2768" w14:textId="77777777" w:rsidR="00851A19" w:rsidRPr="00851A19" w:rsidRDefault="00851A19" w:rsidP="00851A19"/>
    <w:p w14:paraId="0FD137DB" w14:textId="6019E847" w:rsidR="0004209D" w:rsidRPr="00A64527" w:rsidRDefault="00C468A7" w:rsidP="0069056B">
      <w:pPr>
        <w:pStyle w:val="Odstavecseseznamem"/>
        <w:numPr>
          <w:ilvl w:val="0"/>
          <w:numId w:val="5"/>
        </w:numPr>
        <w:rPr>
          <w:lang w:val="cs-CZ"/>
        </w:rPr>
      </w:pPr>
      <w:r w:rsidRPr="00A64527">
        <w:rPr>
          <w:lang w:val="cs-CZ"/>
        </w:rPr>
        <w:t>Bude osazen nový záchytný systém</w:t>
      </w:r>
      <w:r w:rsidR="004D0AF9" w:rsidRPr="00A64527">
        <w:rPr>
          <w:lang w:val="cs-CZ"/>
        </w:rPr>
        <w:t xml:space="preserve"> proti pádu z výšky</w:t>
      </w:r>
      <w:r w:rsidRPr="00A64527">
        <w:rPr>
          <w:lang w:val="cs-CZ"/>
        </w:rPr>
        <w:t>.</w:t>
      </w:r>
      <w:r w:rsidR="00FB3464" w:rsidRPr="00A64527">
        <w:rPr>
          <w:lang w:val="cs-CZ"/>
        </w:rPr>
        <w:t xml:space="preserve"> Ověření a zaměření záchytného systému bude součástí dokumentace skutečného provedení stavby, která bude součástí revizní dokumentace. Kotvící zařízení musí být certifikováno podle ČSN EN 795:2013 a CEN/TS 16415:2013. </w:t>
      </w:r>
      <w:r w:rsidR="00742A11" w:rsidRPr="00A64527">
        <w:rPr>
          <w:lang w:val="cs-CZ"/>
        </w:rPr>
        <w:t xml:space="preserve">Přesné místo </w:t>
      </w:r>
      <w:r w:rsidR="00E51697" w:rsidRPr="00A64527">
        <w:rPr>
          <w:lang w:val="cs-CZ"/>
        </w:rPr>
        <w:t>o</w:t>
      </w:r>
      <w:r w:rsidR="00FB3464" w:rsidRPr="00A64527">
        <w:rPr>
          <w:lang w:val="cs-CZ"/>
        </w:rPr>
        <w:t>sazení záchytného systému musí být konzultováno s</w:t>
      </w:r>
      <w:r w:rsidR="0050772C" w:rsidRPr="00A64527">
        <w:rPr>
          <w:lang w:val="cs-CZ"/>
        </w:rPr>
        <w:t> autorským dozorem</w:t>
      </w:r>
      <w:r w:rsidR="00990E98" w:rsidRPr="00A64527">
        <w:rPr>
          <w:lang w:val="cs-CZ"/>
        </w:rPr>
        <w:t xml:space="preserve"> a </w:t>
      </w:r>
      <w:r w:rsidR="00FB3464" w:rsidRPr="00A64527">
        <w:rPr>
          <w:lang w:val="cs-CZ"/>
        </w:rPr>
        <w:t>TDI</w:t>
      </w:r>
    </w:p>
    <w:p w14:paraId="3002BC31" w14:textId="77777777" w:rsidR="0069056B" w:rsidRPr="00A64527" w:rsidRDefault="0069056B" w:rsidP="00B27FA0">
      <w:pPr>
        <w:rPr>
          <w:rFonts w:ascii="Times New Roman" w:hAnsi="Times New Roman" w:cs="Times New Roman"/>
          <w:sz w:val="24"/>
          <w:szCs w:val="24"/>
        </w:rPr>
      </w:pPr>
    </w:p>
    <w:p w14:paraId="137A80C7" w14:textId="182E8B2B" w:rsidR="000C5A65" w:rsidRPr="00A64527" w:rsidRDefault="000C5A65" w:rsidP="0069056B">
      <w:pPr>
        <w:pStyle w:val="Odstavecseseznamem"/>
        <w:numPr>
          <w:ilvl w:val="0"/>
          <w:numId w:val="5"/>
        </w:numPr>
        <w:rPr>
          <w:lang w:val="cs-CZ"/>
        </w:rPr>
      </w:pPr>
      <w:r w:rsidRPr="00A64527">
        <w:rPr>
          <w:lang w:val="cs-CZ"/>
        </w:rPr>
        <w:t xml:space="preserve">Zhotovitel přebírá veškeré povinnosti původce odpadů dle Zákona č. 541/2020Sb., (již před vznikem odpadu bude mít písemnou smlouvu na odvoz stavebních odpadů, </w:t>
      </w:r>
      <w:r w:rsidR="004D0AF9" w:rsidRPr="00A64527">
        <w:rPr>
          <w:lang w:val="cs-CZ"/>
        </w:rPr>
        <w:t xml:space="preserve">zajistí </w:t>
      </w:r>
      <w:r w:rsidRPr="00A64527">
        <w:rPr>
          <w:lang w:val="cs-CZ"/>
        </w:rPr>
        <w:t xml:space="preserve">třídění odpadů a ostatní). Demontovaná měděná krytina bude finančně vypořádána </w:t>
      </w:r>
      <w:r w:rsidR="00A51E17" w:rsidRPr="00A64527">
        <w:rPr>
          <w:lang w:val="cs-CZ"/>
        </w:rPr>
        <w:t xml:space="preserve">odpočtem ve výkaze výměr </w:t>
      </w:r>
      <w:r w:rsidR="00234B48" w:rsidRPr="00A64527">
        <w:rPr>
          <w:lang w:val="cs-CZ"/>
        </w:rPr>
        <w:t xml:space="preserve">nabídky a upřesněna bude </w:t>
      </w:r>
      <w:r w:rsidR="00A51E17" w:rsidRPr="00A64527">
        <w:rPr>
          <w:lang w:val="cs-CZ"/>
        </w:rPr>
        <w:t>v</w:t>
      </w:r>
      <w:r w:rsidR="00234B48" w:rsidRPr="00A64527">
        <w:rPr>
          <w:lang w:val="cs-CZ"/>
        </w:rPr>
        <w:t>e výkaze výměr</w:t>
      </w:r>
      <w:r w:rsidR="00A51E17" w:rsidRPr="00A64527">
        <w:rPr>
          <w:lang w:val="cs-CZ"/>
        </w:rPr>
        <w:t xml:space="preserve"> závěrečné faktu</w:t>
      </w:r>
      <w:r w:rsidR="00234B48" w:rsidRPr="00A64527">
        <w:rPr>
          <w:lang w:val="cs-CZ"/>
        </w:rPr>
        <w:t>ry</w:t>
      </w:r>
      <w:r w:rsidR="00A51E17" w:rsidRPr="00A64527">
        <w:rPr>
          <w:lang w:val="cs-CZ"/>
        </w:rPr>
        <w:t xml:space="preserve"> dle vážního lístku. Součástí dokladů předávaných k Protokolu o předání a převzetí prací bude </w:t>
      </w:r>
      <w:r w:rsidR="00234B48" w:rsidRPr="00A64527">
        <w:rPr>
          <w:lang w:val="cs-CZ"/>
        </w:rPr>
        <w:t xml:space="preserve">i </w:t>
      </w:r>
      <w:r w:rsidR="00A51E17" w:rsidRPr="00A64527">
        <w:rPr>
          <w:lang w:val="cs-CZ"/>
        </w:rPr>
        <w:t xml:space="preserve">doklad o uložení </w:t>
      </w:r>
      <w:r w:rsidR="00234B48" w:rsidRPr="00A64527">
        <w:rPr>
          <w:lang w:val="cs-CZ"/>
        </w:rPr>
        <w:t xml:space="preserve">veškerého </w:t>
      </w:r>
      <w:r w:rsidR="00A51E17" w:rsidRPr="00A64527">
        <w:rPr>
          <w:lang w:val="cs-CZ"/>
        </w:rPr>
        <w:t>odpadu</w:t>
      </w:r>
      <w:r w:rsidR="00F20E6A" w:rsidRPr="00A64527">
        <w:rPr>
          <w:lang w:val="cs-CZ"/>
        </w:rPr>
        <w:t>.</w:t>
      </w:r>
      <w:r w:rsidRPr="00A64527">
        <w:rPr>
          <w:lang w:val="cs-CZ"/>
        </w:rPr>
        <w:t xml:space="preserve"> </w:t>
      </w:r>
    </w:p>
    <w:p w14:paraId="378C9C71" w14:textId="77777777" w:rsidR="0069056B" w:rsidRPr="00A64527" w:rsidRDefault="0069056B" w:rsidP="00AC148A">
      <w:pPr>
        <w:rPr>
          <w:rFonts w:ascii="Times New Roman" w:hAnsi="Times New Roman" w:cs="Times New Roman"/>
          <w:sz w:val="24"/>
          <w:szCs w:val="24"/>
        </w:rPr>
      </w:pPr>
    </w:p>
    <w:p w14:paraId="5059007E" w14:textId="33D125CC" w:rsidR="00676631" w:rsidRPr="00A64527" w:rsidRDefault="0050772C" w:rsidP="0069056B">
      <w:pPr>
        <w:pStyle w:val="dka"/>
        <w:numPr>
          <w:ilvl w:val="0"/>
          <w:numId w:val="5"/>
        </w:numPr>
        <w:tabs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A64527">
        <w:t xml:space="preserve">Zhotovitel zajistí na své náklady </w:t>
      </w:r>
      <w:r w:rsidR="00676631" w:rsidRPr="00A64527">
        <w:t>provedení revizních zpráv</w:t>
      </w:r>
      <w:r w:rsidRPr="00A64527">
        <w:t xml:space="preserve"> a </w:t>
      </w:r>
      <w:r w:rsidR="00676631" w:rsidRPr="00A64527">
        <w:t xml:space="preserve">vybavení </w:t>
      </w:r>
      <w:r w:rsidRPr="00A64527">
        <w:t xml:space="preserve">stavby </w:t>
      </w:r>
      <w:r w:rsidR="00676631" w:rsidRPr="00A64527">
        <w:t>výstražnými bezpečnostními tabulkami</w:t>
      </w:r>
      <w:r w:rsidR="00AC148A" w:rsidRPr="00A64527">
        <w:t>.</w:t>
      </w:r>
      <w:r w:rsidR="00676631" w:rsidRPr="00A64527">
        <w:t xml:space="preserve"> </w:t>
      </w:r>
    </w:p>
    <w:p w14:paraId="48786A4E" w14:textId="4E930F9F" w:rsidR="0050772C" w:rsidRPr="00A64527" w:rsidRDefault="0050772C" w:rsidP="00676631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35" w:hanging="435"/>
      </w:pPr>
    </w:p>
    <w:p w14:paraId="376FF772" w14:textId="12B125E1" w:rsidR="00B27FA0" w:rsidRPr="00A64527" w:rsidRDefault="00B27FA0" w:rsidP="0069056B">
      <w:pPr>
        <w:pStyle w:val="dka"/>
        <w:numPr>
          <w:ilvl w:val="0"/>
          <w:numId w:val="5"/>
        </w:numPr>
        <w:tabs>
          <w:tab w:val="left" w:pos="628"/>
          <w:tab w:val="left" w:pos="709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A64527">
        <w:rPr>
          <w:szCs w:val="24"/>
        </w:rPr>
        <w:t>Zhotovitel bude mít v průběhu realizace a dokončování předmětu díla na staveništi výhradní odpovědnost především za zajištění bezpečnosti všech osob oprávněných k pohybu na staveništi, udržování staveniště v uspořádaném stavu za účelem předcházení vzniku škod.</w:t>
      </w:r>
    </w:p>
    <w:p w14:paraId="3956622E" w14:textId="77777777" w:rsidR="00FA1F5B" w:rsidRPr="00A64527" w:rsidRDefault="00FA1F5B" w:rsidP="0069056B">
      <w:pPr>
        <w:tabs>
          <w:tab w:val="left" w:pos="628"/>
          <w:tab w:val="left" w:pos="709"/>
        </w:tabs>
        <w:ind w:left="709"/>
        <w:rPr>
          <w:vanish/>
          <w:color w:val="000000"/>
          <w:u w:color="000000"/>
          <w:lang w:eastAsia="cs-CZ"/>
        </w:rPr>
      </w:pPr>
    </w:p>
    <w:p w14:paraId="0E91FFD4" w14:textId="77777777" w:rsidR="00696078" w:rsidRPr="00A64527" w:rsidRDefault="00696078" w:rsidP="0069056B">
      <w:pPr>
        <w:tabs>
          <w:tab w:val="left" w:pos="628"/>
          <w:tab w:val="left" w:pos="709"/>
        </w:tabs>
        <w:ind w:left="709"/>
        <w:rPr>
          <w:vanish/>
          <w:color w:val="000000"/>
          <w:u w:color="000000"/>
          <w:lang w:eastAsia="cs-CZ"/>
        </w:rPr>
      </w:pPr>
    </w:p>
    <w:p w14:paraId="121016ED" w14:textId="716BE35F" w:rsidR="00696078" w:rsidRPr="00A64527" w:rsidRDefault="00696078" w:rsidP="0069056B">
      <w:pPr>
        <w:pStyle w:val="TextA"/>
        <w:tabs>
          <w:tab w:val="left" w:pos="628"/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A64527">
        <w:rPr>
          <w:rFonts w:ascii="Times New Roman" w:hAnsi="Times New Roman" w:cs="Times New Roman"/>
          <w:sz w:val="24"/>
          <w:szCs w:val="24"/>
        </w:rPr>
        <w:t>Zhotovitel po celou dobu realizace díla zodpovídá za zabezpečení staveniště dle podmínek vyhlášky Českého úřadu bezpečnosti práce. Zhotovitel</w:t>
      </w:r>
      <w:r w:rsidR="000C5A65" w:rsidRPr="00A64527">
        <w:rPr>
          <w:rFonts w:ascii="Times New Roman" w:hAnsi="Times New Roman" w:cs="Times New Roman"/>
          <w:sz w:val="24"/>
          <w:szCs w:val="24"/>
        </w:rPr>
        <w:t xml:space="preserve"> </w:t>
      </w:r>
      <w:r w:rsidRPr="00A64527">
        <w:rPr>
          <w:rFonts w:ascii="Times New Roman" w:hAnsi="Times New Roman" w:cs="Times New Roman"/>
          <w:sz w:val="24"/>
          <w:szCs w:val="24"/>
        </w:rPr>
        <w:t>zabezpečí jejich vybavení ochrannými pracovními pomůckami. Dále se Zhotovitel zavazuje dodržovat hygienické předpisy.</w:t>
      </w:r>
    </w:p>
    <w:p w14:paraId="1B00ED7A" w14:textId="3CF67CAB" w:rsidR="00696078" w:rsidRPr="00A64527" w:rsidRDefault="0069056B" w:rsidP="006E74AD">
      <w:pPr>
        <w:pStyle w:val="TextA"/>
        <w:ind w:left="709" w:hanging="81"/>
        <w:rPr>
          <w:rFonts w:ascii="Times New Roman" w:hAnsi="Times New Roman" w:cs="Times New Roman"/>
          <w:color w:val="auto"/>
          <w:sz w:val="24"/>
          <w:szCs w:val="24"/>
        </w:rPr>
      </w:pPr>
      <w:r w:rsidRPr="00A6452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96078" w:rsidRPr="00A64527">
        <w:rPr>
          <w:rFonts w:ascii="Times New Roman" w:hAnsi="Times New Roman" w:cs="Times New Roman"/>
          <w:color w:val="auto"/>
          <w:sz w:val="24"/>
          <w:szCs w:val="24"/>
        </w:rPr>
        <w:t xml:space="preserve">Dodavatel se zavazuje, že pracovníci, kteří se budou pohybovat v </w:t>
      </w:r>
      <w:proofErr w:type="gramStart"/>
      <w:r w:rsidR="00696078" w:rsidRPr="00A64527">
        <w:rPr>
          <w:rFonts w:ascii="Times New Roman" w:hAnsi="Times New Roman" w:cs="Times New Roman"/>
          <w:color w:val="auto"/>
          <w:sz w:val="24"/>
          <w:szCs w:val="24"/>
        </w:rPr>
        <w:t xml:space="preserve">prostorách </w:t>
      </w:r>
      <w:r w:rsidRPr="00A64527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696078" w:rsidRPr="00A64527">
        <w:rPr>
          <w:rFonts w:ascii="Times New Roman" w:hAnsi="Times New Roman" w:cs="Times New Roman"/>
          <w:color w:val="auto"/>
          <w:sz w:val="24"/>
          <w:szCs w:val="24"/>
        </w:rPr>
        <w:t>krematoria</w:t>
      </w:r>
      <w:proofErr w:type="gramEnd"/>
      <w:r w:rsidR="00696078" w:rsidRPr="00A64527">
        <w:rPr>
          <w:rFonts w:ascii="Times New Roman" w:hAnsi="Times New Roman" w:cs="Times New Roman"/>
          <w:color w:val="auto"/>
          <w:sz w:val="24"/>
          <w:szCs w:val="24"/>
        </w:rPr>
        <w:t xml:space="preserve"> Strašnice za účelem výkonu sjednané práce, budou řádně seznámeni s právními a ostatními předpisy k zajištění bezpečnosti a ochrany zdraví při práci, s předvídatelnými riziky své práce a zároveň s přijatými opatřeními na ochranu před působením rizik. Zástupce dodavatele </w:t>
      </w:r>
      <w:r w:rsidR="00AC148A" w:rsidRPr="00A64527">
        <w:rPr>
          <w:rFonts w:ascii="Times New Roman" w:hAnsi="Times New Roman" w:cs="Times New Roman"/>
          <w:color w:val="auto"/>
          <w:sz w:val="24"/>
          <w:szCs w:val="24"/>
        </w:rPr>
        <w:t xml:space="preserve">prokazatelně seznámí své pracovníky s </w:t>
      </w:r>
      <w:r w:rsidR="00696078" w:rsidRPr="00A64527">
        <w:rPr>
          <w:rFonts w:ascii="Times New Roman" w:hAnsi="Times New Roman" w:cs="Times New Roman"/>
          <w:color w:val="auto"/>
          <w:sz w:val="24"/>
          <w:szCs w:val="24"/>
        </w:rPr>
        <w:t>místními podmínkami a zásadami bezpečné práce a požární ochrany.</w:t>
      </w:r>
    </w:p>
    <w:p w14:paraId="1C7BA25B" w14:textId="0384F931" w:rsidR="007B703F" w:rsidRPr="00A64527" w:rsidRDefault="000C5A65" w:rsidP="007948E4">
      <w:pPr>
        <w:widowControl w:val="0"/>
        <w:suppressAutoHyphens/>
        <w:spacing w:after="0" w:line="240" w:lineRule="auto"/>
        <w:ind w:left="709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A64527">
        <w:rPr>
          <w:rFonts w:ascii="Times New Roman" w:hAnsi="Times New Roman" w:cs="Times New Roman"/>
          <w:sz w:val="24"/>
          <w:szCs w:val="24"/>
        </w:rPr>
        <w:t>P</w:t>
      </w:r>
      <w:r w:rsidR="00696078" w:rsidRPr="00A64527">
        <w:rPr>
          <w:rFonts w:ascii="Times New Roman" w:hAnsi="Times New Roman" w:cs="Times New Roman"/>
          <w:sz w:val="24"/>
          <w:szCs w:val="24"/>
        </w:rPr>
        <w:t>racovníci, kteří budou vykonávat sjednanou pracovní činnost</w:t>
      </w:r>
      <w:r w:rsidR="00851A19">
        <w:rPr>
          <w:rFonts w:ascii="Times New Roman" w:hAnsi="Times New Roman" w:cs="Times New Roman"/>
          <w:sz w:val="24"/>
          <w:szCs w:val="24"/>
        </w:rPr>
        <w:t>,</w:t>
      </w:r>
      <w:r w:rsidR="00696078" w:rsidRPr="00A64527">
        <w:rPr>
          <w:rFonts w:ascii="Times New Roman" w:hAnsi="Times New Roman" w:cs="Times New Roman"/>
          <w:sz w:val="24"/>
          <w:szCs w:val="24"/>
        </w:rPr>
        <w:t xml:space="preserve"> </w:t>
      </w:r>
      <w:r w:rsidR="00797752">
        <w:rPr>
          <w:rFonts w:ascii="Times New Roman" w:hAnsi="Times New Roman" w:cs="Times New Roman"/>
          <w:sz w:val="24"/>
          <w:szCs w:val="24"/>
        </w:rPr>
        <w:t>musí mít</w:t>
      </w:r>
      <w:r w:rsidR="00797752" w:rsidRPr="00A64527">
        <w:rPr>
          <w:rFonts w:ascii="Times New Roman" w:hAnsi="Times New Roman" w:cs="Times New Roman"/>
          <w:sz w:val="24"/>
          <w:szCs w:val="24"/>
        </w:rPr>
        <w:t xml:space="preserve"> </w:t>
      </w:r>
      <w:r w:rsidR="00696078" w:rsidRPr="00A64527">
        <w:rPr>
          <w:rFonts w:ascii="Times New Roman" w:hAnsi="Times New Roman" w:cs="Times New Roman"/>
          <w:sz w:val="24"/>
          <w:szCs w:val="24"/>
        </w:rPr>
        <w:t xml:space="preserve">oprávnění k provozování </w:t>
      </w:r>
      <w:r w:rsidRPr="00A64527">
        <w:rPr>
          <w:rFonts w:ascii="Times New Roman" w:hAnsi="Times New Roman" w:cs="Times New Roman"/>
          <w:sz w:val="24"/>
          <w:szCs w:val="24"/>
        </w:rPr>
        <w:t>práce ve výškách</w:t>
      </w:r>
      <w:r w:rsidR="00696078" w:rsidRPr="00A64527">
        <w:rPr>
          <w:rFonts w:ascii="Times New Roman" w:hAnsi="Times New Roman" w:cs="Times New Roman"/>
          <w:sz w:val="24"/>
          <w:szCs w:val="24"/>
        </w:rPr>
        <w:t xml:space="preserve"> pro provádění uvedených prací, jsou dle lékařského vyšetření zdravotně způsobilí pro zadaný výkon práce a znají zásady poskytnutí první pomoci</w:t>
      </w:r>
      <w:r w:rsidR="00F20E6A" w:rsidRPr="00A64527">
        <w:rPr>
          <w:rFonts w:ascii="Times New Roman" w:hAnsi="Times New Roman" w:cs="Times New Roman"/>
          <w:sz w:val="24"/>
          <w:szCs w:val="24"/>
        </w:rPr>
        <w:t>. Před zahájením prací předá zhotovitel jejich jmenný seznam a bude ho udržovat aktuální.</w:t>
      </w:r>
      <w:r w:rsidR="007667D5" w:rsidRPr="00A64527">
        <w:rPr>
          <w:rFonts w:ascii="Times New Roman" w:hAnsi="Times New Roman" w:cs="Times New Roman"/>
          <w:sz w:val="24"/>
          <w:szCs w:val="24"/>
        </w:rPr>
        <w:t>)</w:t>
      </w:r>
    </w:p>
    <w:p w14:paraId="35B6B700" w14:textId="77777777" w:rsidR="007B703F" w:rsidRPr="00A64527" w:rsidRDefault="007B703F" w:rsidP="00696078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4C242935" w14:textId="77777777" w:rsidR="00E51697" w:rsidRPr="00A64527" w:rsidRDefault="00E51697" w:rsidP="00696078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9EC48" w14:textId="6D670669" w:rsidR="00FA1F5B" w:rsidRPr="00A64527" w:rsidRDefault="0022605E" w:rsidP="006E4747">
      <w:pPr>
        <w:pStyle w:val="dka"/>
        <w:numPr>
          <w:ilvl w:val="0"/>
          <w:numId w:val="5"/>
        </w:numPr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A64527">
        <w:t xml:space="preserve">Práce zahrnují veškeré činnosti a dodávky dle projektové dokumentace </w:t>
      </w:r>
      <w:r w:rsidR="00FA1F5B" w:rsidRPr="00A64527">
        <w:t xml:space="preserve">zpracované </w:t>
      </w:r>
      <w:proofErr w:type="gramStart"/>
      <w:r w:rsidR="00FA1F5B" w:rsidRPr="00A64527">
        <w:t>C.H.</w:t>
      </w:r>
      <w:proofErr w:type="gramEnd"/>
      <w:r w:rsidR="00FA1F5B" w:rsidRPr="00A64527">
        <w:t xml:space="preserve">S. Praha s.r.o. </w:t>
      </w:r>
      <w:r w:rsidRPr="00A64527">
        <w:t>včetně</w:t>
      </w:r>
    </w:p>
    <w:p w14:paraId="6BEA2C98" w14:textId="77777777" w:rsidR="00FA1F5B" w:rsidRPr="00A64527" w:rsidRDefault="00FA1F5B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 w14:paraId="334A852C" w14:textId="471319BD" w:rsidR="00FA1F5B" w:rsidRPr="00A64527" w:rsidRDefault="00FA1F5B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A64527">
        <w:t>-</w:t>
      </w:r>
      <w:r w:rsidRPr="00A64527">
        <w:tab/>
        <w:t xml:space="preserve">náklady na zřízení a provozování zařízení staveniště, </w:t>
      </w:r>
    </w:p>
    <w:p w14:paraId="42CF35F6" w14:textId="26D1C56C" w:rsidR="0022605E" w:rsidRPr="00A64527" w:rsidRDefault="0022605E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proofErr w:type="gramStart"/>
      <w:r w:rsidRPr="00A64527">
        <w:t>-      stavbu</w:t>
      </w:r>
      <w:proofErr w:type="gramEnd"/>
      <w:r w:rsidRPr="00A64527">
        <w:t xml:space="preserve"> lešení a všech pomocných konstrukcí</w:t>
      </w:r>
    </w:p>
    <w:p w14:paraId="4CE3C0A6" w14:textId="77777777" w:rsidR="00FA1F5B" w:rsidRPr="00A64527" w:rsidRDefault="00FA1F5B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A64527">
        <w:t>-</w:t>
      </w:r>
      <w:r w:rsidRPr="00A64527">
        <w:tab/>
        <w:t>náklady na dopravu pracovníků na staveniště včetně ubytování;</w:t>
      </w:r>
    </w:p>
    <w:p w14:paraId="58628E13" w14:textId="77777777" w:rsidR="00FA1F5B" w:rsidRPr="00A64527" w:rsidRDefault="00FA1F5B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A64527">
        <w:t>-</w:t>
      </w:r>
      <w:r w:rsidRPr="00A64527">
        <w:tab/>
        <w:t>koordinaci prací příp. subdodavatelů;</w:t>
      </w:r>
    </w:p>
    <w:p w14:paraId="57F14CB6" w14:textId="77777777" w:rsidR="00FA1F5B" w:rsidRPr="00A64527" w:rsidRDefault="00FA1F5B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A64527">
        <w:t>-</w:t>
      </w:r>
      <w:r w:rsidRPr="00A64527">
        <w:tab/>
        <w:t xml:space="preserve">dodávku včetně dopravy na stavbu, skladování, správu, zabudování a montáž všech dílů a </w:t>
      </w:r>
    </w:p>
    <w:p w14:paraId="5F18CBD7" w14:textId="77777777" w:rsidR="00FA1F5B" w:rsidRPr="00A64527" w:rsidRDefault="00FA1F5B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A64527">
        <w:tab/>
        <w:t>materiálů stavby;</w:t>
      </w:r>
    </w:p>
    <w:p w14:paraId="5550DC42" w14:textId="283D9834" w:rsidR="00FA1F5B" w:rsidRPr="00A64527" w:rsidRDefault="00FA1F5B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A64527">
        <w:t>-</w:t>
      </w:r>
      <w:r w:rsidRPr="00A64527">
        <w:tab/>
        <w:t>dopravu na stavbu, skladování, správu a montáž všech technických zařízení a</w:t>
      </w:r>
    </w:p>
    <w:p w14:paraId="1A1EB20F" w14:textId="77777777" w:rsidR="00FA1F5B" w:rsidRPr="00A64527" w:rsidRDefault="00FA1F5B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A64527">
        <w:tab/>
        <w:t>mechanismů nutných pro provádění stavby;</w:t>
      </w:r>
    </w:p>
    <w:p w14:paraId="26A1BA60" w14:textId="7F26BAA2" w:rsidR="00FA1F5B" w:rsidRPr="00A64527" w:rsidRDefault="00FA1F5B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A64527">
        <w:t>-</w:t>
      </w:r>
      <w:r w:rsidRPr="00A64527">
        <w:tab/>
        <w:t>všechny náklady na spotřebu vody, energií, stočné a úhradu provozu telefonů</w:t>
      </w:r>
    </w:p>
    <w:p w14:paraId="2577AEF2" w14:textId="77777777" w:rsidR="00FA1F5B" w:rsidRPr="00A64527" w:rsidRDefault="00FA1F5B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A64527">
        <w:tab/>
        <w:t>v průběhu stavby;</w:t>
      </w:r>
    </w:p>
    <w:p w14:paraId="7B7F4AFC" w14:textId="4E39E5B1" w:rsidR="00FA1F5B" w:rsidRPr="00A64527" w:rsidRDefault="00FA1F5B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A64527">
        <w:t>-</w:t>
      </w:r>
      <w:r w:rsidRPr="00A64527">
        <w:tab/>
        <w:t>provedení a náklady na povinné zkoušky materiálů, vzorků a prací ve smyslu platných</w:t>
      </w:r>
    </w:p>
    <w:p w14:paraId="5D6C93EA" w14:textId="49DE5075" w:rsidR="00FA1F5B" w:rsidRPr="00A64527" w:rsidRDefault="00FA1F5B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A64527">
        <w:tab/>
        <w:t>norem a předpisů;</w:t>
      </w:r>
      <w:r w:rsidR="0022605E" w:rsidRPr="00A64527">
        <w:t xml:space="preserve"> označení stavby</w:t>
      </w:r>
    </w:p>
    <w:p w14:paraId="29736747" w14:textId="77777777" w:rsidR="00FA1F5B" w:rsidRPr="00A64527" w:rsidRDefault="00FA1F5B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35" w:hanging="435"/>
      </w:pPr>
      <w:r w:rsidRPr="00A64527">
        <w:t>-</w:t>
      </w:r>
      <w:r w:rsidRPr="00A64527">
        <w:tab/>
        <w:t xml:space="preserve">provedení a náklady na vypracování revizních zpráv, vybavení výstražnými bezpečnostními tabulkami; </w:t>
      </w:r>
    </w:p>
    <w:p w14:paraId="4B4DDE84" w14:textId="77777777" w:rsidR="00FA1F5B" w:rsidRPr="00A64527" w:rsidRDefault="00FA1F5B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A64527">
        <w:lastRenderedPageBreak/>
        <w:t>-</w:t>
      </w:r>
      <w:r w:rsidRPr="00A64527">
        <w:tab/>
        <w:t>všechny případné v úvahu připadající celní náklady a náklady na proclení;</w:t>
      </w:r>
    </w:p>
    <w:p w14:paraId="055E51FC" w14:textId="77777777" w:rsidR="00FA1F5B" w:rsidRPr="00A64527" w:rsidRDefault="00FA1F5B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A64527">
        <w:t>-</w:t>
      </w:r>
      <w:r w:rsidRPr="00A64527">
        <w:tab/>
        <w:t>dokumentaci skutečného provedení stavby.</w:t>
      </w:r>
    </w:p>
    <w:p w14:paraId="0E7BF6D5" w14:textId="5420EFB6" w:rsidR="00FA1F5B" w:rsidRPr="00A64527" w:rsidRDefault="00FA1F5B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A64527">
        <w:t>-</w:t>
      </w:r>
      <w:r w:rsidRPr="00A64527">
        <w:tab/>
        <w:t>všechny náklady na nutná, úřady stanovená opatření k realizaci stavby</w:t>
      </w:r>
    </w:p>
    <w:p w14:paraId="0E98FCDA" w14:textId="77777777" w:rsidR="0022605E" w:rsidRPr="00A64527" w:rsidRDefault="0022605E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 w14:paraId="17954266" w14:textId="4D0EC6F9" w:rsidR="0022605E" w:rsidRPr="00A64527" w:rsidRDefault="0022605E" w:rsidP="006E74AD">
      <w:pPr>
        <w:pStyle w:val="dka"/>
        <w:numPr>
          <w:ilvl w:val="0"/>
          <w:numId w:val="5"/>
        </w:numPr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A64527">
        <w:t xml:space="preserve">Předmětem díla a povinností zhotovitele je provedení veškerých kotevních prvků, pomocných konstrukcí, těsnění, tmelení, </w:t>
      </w:r>
      <w:proofErr w:type="spellStart"/>
      <w:r w:rsidRPr="00A64527">
        <w:t>stěrkování</w:t>
      </w:r>
      <w:proofErr w:type="spellEnd"/>
      <w:r w:rsidRPr="00A64527">
        <w:t xml:space="preserve">, lepení, lešení, vč. dodávky příslušných materiálů a použití nezbytných pomůcek a nářadí, stavebních </w:t>
      </w:r>
      <w:proofErr w:type="spellStart"/>
      <w:r w:rsidRPr="00A64527">
        <w:t>přípomocí</w:t>
      </w:r>
      <w:proofErr w:type="spellEnd"/>
      <w:r w:rsidRPr="00A64527">
        <w:t xml:space="preserve"> a ostatních prací dodávek přímo nespecifikovaných v těchto podkladech a projektové dokumentaci, ale nezbytných pro řádné a kvalitní zhotovení a plnou funkčnost díla.</w:t>
      </w:r>
    </w:p>
    <w:p w14:paraId="58A239F5" w14:textId="1A14648E" w:rsidR="00252B0A" w:rsidRPr="00A64527" w:rsidRDefault="00252B0A" w:rsidP="0022605E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 w14:paraId="24D3723F" w14:textId="098C9954" w:rsidR="00252B0A" w:rsidRPr="00A64527" w:rsidRDefault="00252B0A" w:rsidP="006E74AD">
      <w:pPr>
        <w:pStyle w:val="dka"/>
        <w:numPr>
          <w:ilvl w:val="0"/>
          <w:numId w:val="5"/>
        </w:numPr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A64527">
        <w:t xml:space="preserve">Náklady na výše uvedené práce nebudou objednatelem zvlášť hrazeny, jsou součástí nabídkové </w:t>
      </w:r>
      <w:proofErr w:type="gramStart"/>
      <w:r w:rsidRPr="00A64527">
        <w:t>ceny a pokud</w:t>
      </w:r>
      <w:proofErr w:type="gramEnd"/>
      <w:r w:rsidRPr="00A64527">
        <w:t xml:space="preserve"> nebudou zvlášť uvedeny, je nutno je zahrnout do nákladů jednotlivých částí stavby.</w:t>
      </w:r>
    </w:p>
    <w:p w14:paraId="5ED29EFF" w14:textId="77777777" w:rsidR="00252B0A" w:rsidRPr="00A64527" w:rsidRDefault="00252B0A" w:rsidP="00252B0A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 w14:paraId="3DAE36DA" w14:textId="44F5C7D7" w:rsidR="00252B0A" w:rsidRPr="00A64527" w:rsidRDefault="00252B0A" w:rsidP="006E74AD">
      <w:pPr>
        <w:pStyle w:val="dka"/>
        <w:numPr>
          <w:ilvl w:val="0"/>
          <w:numId w:val="5"/>
        </w:numPr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A64527">
        <w:t xml:space="preserve">Zhotovitel je povinen zajistit včas v potřebném rozsahu zásobování a měření staveniště vodou a el. </w:t>
      </w:r>
      <w:proofErr w:type="gramStart"/>
      <w:r w:rsidRPr="00A64527">
        <w:t>energií</w:t>
      </w:r>
      <w:proofErr w:type="gramEnd"/>
      <w:r w:rsidRPr="00A64527">
        <w:t xml:space="preserve"> (po dohodě s objednatelem a upřesnění místa napojení) a udržovat je po celou dobu trvání stavby. Veškeré s tím spojené náklady a náklady za spotřebovanou vodu a el. </w:t>
      </w:r>
      <w:proofErr w:type="gramStart"/>
      <w:r w:rsidRPr="00A64527">
        <w:t>energii</w:t>
      </w:r>
      <w:proofErr w:type="gramEnd"/>
      <w:r w:rsidRPr="00A64527">
        <w:t xml:space="preserve"> pro účely stavby nese zhotovitel. </w:t>
      </w:r>
    </w:p>
    <w:p w14:paraId="44B90B64" w14:textId="77777777" w:rsidR="00FA1F5B" w:rsidRPr="00A64527" w:rsidRDefault="00FA1F5B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 w14:paraId="3CB734CA" w14:textId="6BB9F266" w:rsidR="00FA1F5B" w:rsidRPr="00A64527" w:rsidRDefault="00FA1F5B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 w14:paraId="7A6E7FE4" w14:textId="7C2D4CAE" w:rsidR="007B703F" w:rsidRPr="00A64527" w:rsidRDefault="007B703F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i/>
          <w:iCs/>
          <w:color w:val="4472C4" w:themeColor="accent1"/>
        </w:rPr>
      </w:pPr>
    </w:p>
    <w:p w14:paraId="70E39CFA" w14:textId="77777777" w:rsidR="007B703F" w:rsidRPr="00A64527" w:rsidRDefault="007B703F" w:rsidP="00FA1F5B">
      <w:pPr>
        <w:pStyle w:val="dka"/>
        <w:tabs>
          <w:tab w:val="left" w:pos="441"/>
          <w:tab w:val="left" w:pos="628"/>
          <w:tab w:val="left" w:pos="791"/>
          <w:tab w:val="left" w:pos="1141"/>
          <w:tab w:val="left" w:pos="4153"/>
          <w:tab w:val="left" w:pos="757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</w:p>
    <w:p w14:paraId="3BECA334" w14:textId="77777777" w:rsidR="00FA1F5B" w:rsidRPr="00A64527" w:rsidRDefault="00FA1F5B" w:rsidP="00FA1F5B">
      <w:pPr>
        <w:pStyle w:val="Zkladn"/>
      </w:pPr>
    </w:p>
    <w:p w14:paraId="003DD225" w14:textId="77777777" w:rsidR="00FA1F5B" w:rsidRPr="00A64527" w:rsidRDefault="00FA1F5B" w:rsidP="00FA1F5B">
      <w:pPr>
        <w:pStyle w:val="Zkladn"/>
      </w:pPr>
    </w:p>
    <w:p w14:paraId="40D87CDA" w14:textId="77777777" w:rsidR="00FA1F5B" w:rsidRPr="00A64527" w:rsidRDefault="00FA1F5B" w:rsidP="00696078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7210E" w14:textId="77777777" w:rsidR="00696078" w:rsidRPr="00A64527" w:rsidRDefault="00696078" w:rsidP="00696078">
      <w:pPr>
        <w:pStyle w:val="TextA"/>
        <w:rPr>
          <w:rFonts w:ascii="Times New Roman" w:hAnsi="Times New Roman" w:cs="Times New Roman"/>
          <w:color w:val="auto"/>
          <w:sz w:val="24"/>
          <w:szCs w:val="24"/>
        </w:rPr>
      </w:pPr>
    </w:p>
    <w:p w14:paraId="43BBF907" w14:textId="77777777" w:rsidR="00BA5B8C" w:rsidRPr="00A64527" w:rsidRDefault="00BA5B8C" w:rsidP="00696078"/>
    <w:sectPr w:rsidR="00BA5B8C" w:rsidRPr="00A64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32505C6C"/>
    <w:multiLevelType w:val="hybridMultilevel"/>
    <w:tmpl w:val="E08881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90ED3"/>
    <w:multiLevelType w:val="hybridMultilevel"/>
    <w:tmpl w:val="08B68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25E7B"/>
    <w:multiLevelType w:val="multilevel"/>
    <w:tmpl w:val="56CEB286"/>
    <w:styleLink w:val="List0"/>
    <w:lvl w:ilvl="0">
      <w:start w:val="1"/>
      <w:numFmt w:val="decimal"/>
      <w:lvlText w:val="%1."/>
      <w:lvlJc w:val="left"/>
      <w:pPr>
        <w:ind w:left="2061" w:hanging="360"/>
      </w:pPr>
      <w:rPr>
        <w:position w:val="0"/>
        <w:sz w:val="22"/>
        <w:szCs w:val="22"/>
        <w:rtl w:val="0"/>
      </w:rPr>
    </w:lvl>
    <w:lvl w:ilvl="1">
      <w:start w:val="1"/>
      <w:numFmt w:val="decimal"/>
      <w:lvlText w:val="%1.%2."/>
      <w:lvlJc w:val="left"/>
      <w:pPr>
        <w:ind w:left="2493" w:hanging="432"/>
      </w:pPr>
      <w:rPr>
        <w:position w:val="0"/>
        <w:sz w:val="22"/>
        <w:szCs w:val="22"/>
        <w:rtl w:val="0"/>
      </w:rPr>
    </w:lvl>
    <w:lvl w:ilvl="2">
      <w:start w:val="1"/>
      <w:numFmt w:val="decimal"/>
      <w:lvlText w:val="%1.%2.%3."/>
      <w:lvlJc w:val="left"/>
      <w:pPr>
        <w:ind w:left="2925" w:hanging="504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1.%2.%3.%4."/>
      <w:lvlJc w:val="left"/>
      <w:pPr>
        <w:ind w:left="3429" w:hanging="648"/>
      </w:pPr>
      <w:rPr>
        <w:position w:val="0"/>
        <w:sz w:val="22"/>
        <w:szCs w:val="22"/>
        <w:rtl w:val="0"/>
      </w:rPr>
    </w:lvl>
    <w:lvl w:ilvl="4">
      <w:start w:val="1"/>
      <w:numFmt w:val="decimal"/>
      <w:lvlText w:val="%1.%2.%3.%4.%5."/>
      <w:lvlJc w:val="left"/>
      <w:pPr>
        <w:ind w:left="3933" w:hanging="792"/>
      </w:pPr>
      <w:rPr>
        <w:position w:val="0"/>
        <w:sz w:val="22"/>
        <w:szCs w:val="22"/>
        <w:rtl w:val="0"/>
      </w:rPr>
    </w:lvl>
    <w:lvl w:ilvl="5">
      <w:start w:val="1"/>
      <w:numFmt w:val="decimal"/>
      <w:lvlText w:val="%1.%2.%3.%4.%5.%6."/>
      <w:lvlJc w:val="left"/>
      <w:pPr>
        <w:ind w:left="4437" w:hanging="936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1.%2.%3.%4.%5.%6.%7."/>
      <w:lvlJc w:val="left"/>
      <w:pPr>
        <w:ind w:left="4941" w:hanging="1080"/>
      </w:pPr>
      <w:rPr>
        <w:position w:val="0"/>
        <w:sz w:val="22"/>
        <w:szCs w:val="22"/>
        <w:rtl w:val="0"/>
      </w:rPr>
    </w:lvl>
    <w:lvl w:ilvl="7">
      <w:start w:val="1"/>
      <w:numFmt w:val="decimal"/>
      <w:lvlText w:val="%1.%2.%3.%4.%5.%6.%7.%8."/>
      <w:lvlJc w:val="left"/>
      <w:pPr>
        <w:ind w:left="5445" w:hanging="1224"/>
      </w:pPr>
      <w:rPr>
        <w:position w:val="0"/>
        <w:sz w:val="22"/>
        <w:szCs w:val="22"/>
        <w:rtl w:val="0"/>
      </w:rPr>
    </w:lvl>
    <w:lvl w:ilvl="8">
      <w:start w:val="1"/>
      <w:numFmt w:val="decimal"/>
      <w:lvlText w:val="%1.%2.%3.%4.%5.%6.%7.%8.%9."/>
      <w:lvlJc w:val="left"/>
      <w:pPr>
        <w:ind w:left="6021" w:hanging="1440"/>
      </w:pPr>
      <w:rPr>
        <w:position w:val="0"/>
        <w:sz w:val="22"/>
        <w:szCs w:val="22"/>
        <w:rtl w:val="0"/>
      </w:rPr>
    </w:lvl>
  </w:abstractNum>
  <w:abstractNum w:abstractNumId="4">
    <w:nsid w:val="6A5761BF"/>
    <w:multiLevelType w:val="hybridMultilevel"/>
    <w:tmpl w:val="60C03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start w:val="1"/>
        <w:numFmt w:val="decimal"/>
        <w:lvlText w:val="%1."/>
        <w:lvlJc w:val="left"/>
        <w:pPr>
          <w:ind w:left="2061" w:hanging="360"/>
        </w:pPr>
        <w:rPr>
          <w:position w:val="0"/>
          <w:sz w:val="22"/>
          <w:szCs w:val="22"/>
          <w:rtl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493" w:hanging="432"/>
        </w:pPr>
        <w:rPr>
          <w:position w:val="0"/>
          <w:sz w:val="24"/>
          <w:szCs w:val="24"/>
          <w:rtl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925" w:hanging="504"/>
        </w:pPr>
        <w:rPr>
          <w:position w:val="0"/>
          <w:sz w:val="22"/>
          <w:szCs w:val="22"/>
          <w:rtl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429" w:hanging="648"/>
        </w:pPr>
        <w:rPr>
          <w:position w:val="0"/>
          <w:sz w:val="22"/>
          <w:szCs w:val="22"/>
          <w:rtl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33" w:hanging="792"/>
        </w:pPr>
        <w:rPr>
          <w:position w:val="0"/>
          <w:sz w:val="22"/>
          <w:szCs w:val="22"/>
          <w:rtl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437" w:hanging="936"/>
        </w:pPr>
        <w:rPr>
          <w:position w:val="0"/>
          <w:sz w:val="22"/>
          <w:szCs w:val="22"/>
          <w:rtl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941" w:hanging="1080"/>
        </w:pPr>
        <w:rPr>
          <w:position w:val="0"/>
          <w:sz w:val="22"/>
          <w:szCs w:val="22"/>
          <w:rtl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45" w:hanging="1224"/>
        </w:pPr>
        <w:rPr>
          <w:position w:val="0"/>
          <w:sz w:val="22"/>
          <w:szCs w:val="22"/>
          <w:rtl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021" w:hanging="1440"/>
        </w:pPr>
        <w:rPr>
          <w:position w:val="0"/>
          <w:sz w:val="22"/>
          <w:szCs w:val="22"/>
          <w:rtl w:val="0"/>
        </w:rPr>
      </w:lvl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8C"/>
    <w:rsid w:val="0004209D"/>
    <w:rsid w:val="000C5A65"/>
    <w:rsid w:val="001026E6"/>
    <w:rsid w:val="0022605E"/>
    <w:rsid w:val="00234B48"/>
    <w:rsid w:val="00252B0A"/>
    <w:rsid w:val="002A38A5"/>
    <w:rsid w:val="00493FD0"/>
    <w:rsid w:val="004D0AF9"/>
    <w:rsid w:val="0050772C"/>
    <w:rsid w:val="0067355C"/>
    <w:rsid w:val="00676631"/>
    <w:rsid w:val="0069056B"/>
    <w:rsid w:val="00696078"/>
    <w:rsid w:val="006E4747"/>
    <w:rsid w:val="006E74AD"/>
    <w:rsid w:val="00742A11"/>
    <w:rsid w:val="007667D5"/>
    <w:rsid w:val="007948E4"/>
    <w:rsid w:val="00797752"/>
    <w:rsid w:val="007B703F"/>
    <w:rsid w:val="00851A19"/>
    <w:rsid w:val="0092610E"/>
    <w:rsid w:val="00982A9F"/>
    <w:rsid w:val="00990E98"/>
    <w:rsid w:val="009F7856"/>
    <w:rsid w:val="00A51E17"/>
    <w:rsid w:val="00A64527"/>
    <w:rsid w:val="00AC148A"/>
    <w:rsid w:val="00B27FA0"/>
    <w:rsid w:val="00BA5B8C"/>
    <w:rsid w:val="00C468A7"/>
    <w:rsid w:val="00C92E94"/>
    <w:rsid w:val="00D14900"/>
    <w:rsid w:val="00D575D5"/>
    <w:rsid w:val="00E51697"/>
    <w:rsid w:val="00F20E6A"/>
    <w:rsid w:val="00FA1F5B"/>
    <w:rsid w:val="00FB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E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adpis3"/>
    <w:next w:val="Nadpis3"/>
    <w:link w:val="Nadpis2Char"/>
    <w:qFormat/>
    <w:rsid w:val="00FA1F5B"/>
    <w:pPr>
      <w:keepLines w:val="0"/>
      <w:overflowPunct w:val="0"/>
      <w:autoSpaceDE w:val="0"/>
      <w:autoSpaceDN w:val="0"/>
      <w:adjustRightInd w:val="0"/>
      <w:spacing w:before="24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color w:val="auto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1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A">
    <w:name w:val="Text A"/>
    <w:qFormat/>
    <w:rsid w:val="006960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cs-CZ"/>
    </w:rPr>
  </w:style>
  <w:style w:type="numbering" w:customStyle="1" w:styleId="List0">
    <w:name w:val="List 0"/>
    <w:basedOn w:val="Bezseznamu"/>
    <w:rsid w:val="00696078"/>
    <w:pPr>
      <w:numPr>
        <w:numId w:val="6"/>
      </w:numPr>
    </w:pPr>
  </w:style>
  <w:style w:type="paragraph" w:styleId="Odstavecseseznamem">
    <w:name w:val="List Paragraph"/>
    <w:basedOn w:val="Normln"/>
    <w:uiPriority w:val="34"/>
    <w:qFormat/>
    <w:rsid w:val="006960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Nadpis2Char">
    <w:name w:val="Nadpis 2 Char"/>
    <w:basedOn w:val="Standardnpsmoodstavce"/>
    <w:link w:val="Nadpis2"/>
    <w:rsid w:val="00FA1F5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dka">
    <w:name w:val="Řádka"/>
    <w:basedOn w:val="Normln"/>
    <w:rsid w:val="00FA1F5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">
    <w:name w:val="Základní"/>
    <w:basedOn w:val="dka"/>
    <w:rsid w:val="00FA1F5B"/>
    <w:pPr>
      <w:spacing w:before="120"/>
      <w:ind w:firstLine="680"/>
    </w:pPr>
  </w:style>
  <w:style w:type="paragraph" w:styleId="Zkladntext">
    <w:name w:val="Body Text"/>
    <w:basedOn w:val="Normln"/>
    <w:link w:val="ZkladntextChar"/>
    <w:semiHidden/>
    <w:rsid w:val="00FA1F5B"/>
    <w:pPr>
      <w:widowControl w:val="0"/>
      <w:overflowPunct w:val="0"/>
      <w:autoSpaceDE w:val="0"/>
      <w:autoSpaceDN w:val="0"/>
      <w:adjustRightInd w:val="0"/>
      <w:spacing w:before="141" w:after="0" w:line="240" w:lineRule="auto"/>
      <w:ind w:firstLine="567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A1F5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1F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977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77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77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7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7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7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adpis3"/>
    <w:next w:val="Nadpis3"/>
    <w:link w:val="Nadpis2Char"/>
    <w:qFormat/>
    <w:rsid w:val="00FA1F5B"/>
    <w:pPr>
      <w:keepLines w:val="0"/>
      <w:overflowPunct w:val="0"/>
      <w:autoSpaceDE w:val="0"/>
      <w:autoSpaceDN w:val="0"/>
      <w:adjustRightInd w:val="0"/>
      <w:spacing w:before="24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color w:val="auto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1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A">
    <w:name w:val="Text A"/>
    <w:qFormat/>
    <w:rsid w:val="006960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cs-CZ"/>
    </w:rPr>
  </w:style>
  <w:style w:type="numbering" w:customStyle="1" w:styleId="List0">
    <w:name w:val="List 0"/>
    <w:basedOn w:val="Bezseznamu"/>
    <w:rsid w:val="00696078"/>
    <w:pPr>
      <w:numPr>
        <w:numId w:val="6"/>
      </w:numPr>
    </w:pPr>
  </w:style>
  <w:style w:type="paragraph" w:styleId="Odstavecseseznamem">
    <w:name w:val="List Paragraph"/>
    <w:basedOn w:val="Normln"/>
    <w:uiPriority w:val="34"/>
    <w:qFormat/>
    <w:rsid w:val="006960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Nadpis2Char">
    <w:name w:val="Nadpis 2 Char"/>
    <w:basedOn w:val="Standardnpsmoodstavce"/>
    <w:link w:val="Nadpis2"/>
    <w:rsid w:val="00FA1F5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dka">
    <w:name w:val="Řádka"/>
    <w:basedOn w:val="Normln"/>
    <w:rsid w:val="00FA1F5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">
    <w:name w:val="Základní"/>
    <w:basedOn w:val="dka"/>
    <w:rsid w:val="00FA1F5B"/>
    <w:pPr>
      <w:spacing w:before="120"/>
      <w:ind w:firstLine="680"/>
    </w:pPr>
  </w:style>
  <w:style w:type="paragraph" w:styleId="Zkladntext">
    <w:name w:val="Body Text"/>
    <w:basedOn w:val="Normln"/>
    <w:link w:val="ZkladntextChar"/>
    <w:semiHidden/>
    <w:rsid w:val="00FA1F5B"/>
    <w:pPr>
      <w:widowControl w:val="0"/>
      <w:overflowPunct w:val="0"/>
      <w:autoSpaceDE w:val="0"/>
      <w:autoSpaceDN w:val="0"/>
      <w:adjustRightInd w:val="0"/>
      <w:spacing w:before="141" w:after="0" w:line="240" w:lineRule="auto"/>
      <w:ind w:firstLine="567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A1F5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1F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977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77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77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7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7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Stankova</dc:creator>
  <cp:lastModifiedBy>Cmokova</cp:lastModifiedBy>
  <cp:revision>3</cp:revision>
  <dcterms:created xsi:type="dcterms:W3CDTF">2021-07-26T10:31:00Z</dcterms:created>
  <dcterms:modified xsi:type="dcterms:W3CDTF">2021-08-18T11:21:00Z</dcterms:modified>
</cp:coreProperties>
</file>