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B2" w:rsidRDefault="00BA77F4">
      <w:pPr>
        <w:rPr>
          <w:sz w:val="2"/>
          <w:szCs w:val="2"/>
        </w:rPr>
      </w:pPr>
      <w:r>
        <w:pict>
          <v:rect id="_x0000_s1028" style="position:absolute;margin-left:29.45pt;margin-top:28.6pt;width:33.85pt;height:71.05pt;z-index:-251658752;mso-position-horizontal-relative:page;mso-position-vertical-relative:page" fillcolor="#e3041f" stroked="f">
            <w10:wrap anchorx="page" anchory="page"/>
          </v:rect>
        </w:pict>
      </w:r>
      <w:r>
        <w:pict>
          <v:rect id="_x0000_s1027" style="position:absolute;margin-left:66.4pt;margin-top:28.6pt;width:33.85pt;height:71.05pt;z-index:-251658751;mso-position-horizontal-relative:page;mso-position-vertical-relative:page" fillcolor="#e3041f" stroked="f">
            <w10:wrap anchorx="page" anchory="page"/>
          </v:rect>
        </w:pict>
      </w:r>
      <w:r>
        <w:pict>
          <v:rect id="_x0000_s1026" style="position:absolute;margin-left:28.5pt;margin-top:27.65pt;width:72.7pt;height:72.95pt;z-index:-251658750;mso-position-horizontal-relative:page;mso-position-vertical-relative:page" fillcolor="#e3041f" stroked="f">
            <w10:wrap anchorx="page" anchory="page"/>
          </v:rect>
        </w:pic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25"/>
        <w:gridCol w:w="730"/>
      </w:tblGrid>
      <w:tr w:rsidR="002C0DB2">
        <w:trPr>
          <w:trHeight w:hRule="exact" w:val="394"/>
        </w:trPr>
        <w:tc>
          <w:tcPr>
            <w:tcW w:w="725" w:type="dxa"/>
            <w:shd w:val="clear" w:color="auto" w:fill="000000"/>
            <w:vAlign w:val="bottom"/>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PRA</w:t>
            </w:r>
          </w:p>
        </w:tc>
        <w:tc>
          <w:tcPr>
            <w:tcW w:w="730" w:type="dxa"/>
            <w:shd w:val="clear" w:color="auto" w:fill="000000"/>
            <w:vAlign w:val="bottom"/>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HA</w:t>
            </w:r>
          </w:p>
        </w:tc>
      </w:tr>
      <w:tr w:rsidR="002C0DB2">
        <w:trPr>
          <w:trHeight w:hRule="exact" w:val="317"/>
        </w:trPr>
        <w:tc>
          <w:tcPr>
            <w:tcW w:w="725" w:type="dxa"/>
            <w:shd w:val="clear" w:color="auto" w:fill="000000"/>
            <w:vAlign w:val="bottom"/>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PRA</w:t>
            </w:r>
          </w:p>
        </w:tc>
        <w:tc>
          <w:tcPr>
            <w:tcW w:w="730" w:type="dxa"/>
            <w:shd w:val="clear" w:color="auto" w:fill="000000"/>
            <w:vAlign w:val="bottom"/>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GUE</w:t>
            </w:r>
          </w:p>
        </w:tc>
      </w:tr>
      <w:tr w:rsidR="002C0DB2">
        <w:trPr>
          <w:trHeight w:hRule="exact" w:val="322"/>
        </w:trPr>
        <w:tc>
          <w:tcPr>
            <w:tcW w:w="725" w:type="dxa"/>
            <w:shd w:val="clear" w:color="auto" w:fill="000000"/>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PRA</w:t>
            </w:r>
          </w:p>
        </w:tc>
        <w:tc>
          <w:tcPr>
            <w:tcW w:w="730" w:type="dxa"/>
            <w:shd w:val="clear" w:color="auto" w:fill="000000"/>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GA</w:t>
            </w:r>
          </w:p>
        </w:tc>
      </w:tr>
      <w:tr w:rsidR="002C0DB2">
        <w:trPr>
          <w:trHeight w:hRule="exact" w:val="427"/>
        </w:trPr>
        <w:tc>
          <w:tcPr>
            <w:tcW w:w="725" w:type="dxa"/>
            <w:shd w:val="clear" w:color="auto" w:fill="000000"/>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PRA</w:t>
            </w:r>
          </w:p>
        </w:tc>
        <w:tc>
          <w:tcPr>
            <w:tcW w:w="730" w:type="dxa"/>
            <w:shd w:val="clear" w:color="auto" w:fill="000000"/>
          </w:tcPr>
          <w:p w:rsidR="002C0DB2" w:rsidRDefault="00CB5641">
            <w:pPr>
              <w:pStyle w:val="Zkladntext20"/>
              <w:framePr w:w="1454" w:h="1459" w:wrap="none" w:vAnchor="page" w:hAnchor="page" w:x="571" w:y="554"/>
              <w:shd w:val="clear" w:color="auto" w:fill="auto"/>
              <w:spacing w:line="260" w:lineRule="exact"/>
            </w:pPr>
            <w:r>
              <w:rPr>
                <w:rStyle w:val="Zkladntext2Calibri13ptTundkovn2pt"/>
              </w:rPr>
              <w:t>G</w:t>
            </w:r>
          </w:p>
        </w:tc>
      </w:tr>
    </w:tbl>
    <w:p w:rsidR="002C0DB2" w:rsidRDefault="00CB5641">
      <w:pPr>
        <w:pStyle w:val="Zkladntext20"/>
        <w:framePr w:w="4440" w:h="1338" w:hRule="exact" w:wrap="none" w:vAnchor="page" w:hAnchor="page" w:x="2347" w:y="590"/>
        <w:shd w:val="clear" w:color="auto" w:fill="auto"/>
      </w:pPr>
      <w:r>
        <w:t>HLAVNÍ MĚSTO PRAHA MAGISTRÁT HLAVNÍHO MĚSTA PRAHY Odbor památkové péče Oddělení státní správy památkové péče</w:t>
      </w:r>
    </w:p>
    <w:p w:rsidR="002C0DB2" w:rsidRDefault="00CB5641">
      <w:pPr>
        <w:pStyle w:val="Zkladntext20"/>
        <w:framePr w:wrap="none" w:vAnchor="page" w:hAnchor="page" w:x="8894" w:y="1242"/>
        <w:shd w:val="clear" w:color="auto" w:fill="auto"/>
        <w:spacing w:line="220" w:lineRule="exact"/>
      </w:pPr>
      <w:r>
        <w:t>MHMPXP</w:t>
      </w:r>
    </w:p>
    <w:p w:rsidR="002C0DB2" w:rsidRDefault="00CB5641">
      <w:pPr>
        <w:pStyle w:val="Zkladntext20"/>
        <w:framePr w:wrap="none" w:vAnchor="page" w:hAnchor="page" w:x="9969" w:y="1218"/>
        <w:shd w:val="clear" w:color="auto" w:fill="auto"/>
        <w:spacing w:line="220" w:lineRule="exact"/>
      </w:pPr>
      <w:r>
        <w:t>KJQN</w:t>
      </w:r>
    </w:p>
    <w:p w:rsidR="002C0DB2" w:rsidRDefault="00CB5641">
      <w:pPr>
        <w:pStyle w:val="Nadpis10"/>
        <w:framePr w:wrap="none" w:vAnchor="page" w:hAnchor="page" w:x="10718" w:y="685"/>
        <w:shd w:val="clear" w:color="auto" w:fill="auto"/>
        <w:spacing w:line="580" w:lineRule="exact"/>
      </w:pPr>
      <w:bookmarkStart w:id="0" w:name="bookmark0"/>
      <w:r>
        <w:t>II!</w:t>
      </w:r>
      <w:bookmarkEnd w:id="0"/>
    </w:p>
    <w:p w:rsidR="002C0DB2" w:rsidRDefault="00CB5641">
      <w:pPr>
        <w:pStyle w:val="Zkladntext20"/>
        <w:framePr w:wrap="none" w:vAnchor="page" w:hAnchor="page" w:x="2328" w:y="3166"/>
        <w:shd w:val="clear" w:color="auto" w:fill="auto"/>
        <w:spacing w:line="220" w:lineRule="exact"/>
        <w:ind w:left="4480"/>
      </w:pPr>
      <w:r>
        <w:t>- dle rozdělovníku -</w:t>
      </w:r>
    </w:p>
    <w:p w:rsidR="002C0DB2" w:rsidRDefault="00CB5641">
      <w:pPr>
        <w:pStyle w:val="Zkladntext20"/>
        <w:framePr w:w="2170" w:h="1964" w:hRule="exact" w:wrap="none" w:vAnchor="page" w:hAnchor="page" w:x="2347" w:y="4892"/>
        <w:shd w:val="clear" w:color="auto" w:fill="auto"/>
        <w:spacing w:line="312" w:lineRule="exact"/>
      </w:pPr>
      <w:r>
        <w:t xml:space="preserve">Váš dopis zn./ze dne: </w:t>
      </w:r>
      <w:r>
        <w:rPr>
          <w:rStyle w:val="Zkladntext2Tun"/>
        </w:rPr>
        <w:t>Te/01/2021</w:t>
      </w:r>
    </w:p>
    <w:p w:rsidR="002C0DB2" w:rsidRDefault="00CB5641">
      <w:pPr>
        <w:pStyle w:val="Zkladntext20"/>
        <w:framePr w:w="2170" w:h="1964" w:hRule="exact" w:wrap="none" w:vAnchor="page" w:hAnchor="page" w:x="2347" w:y="4892"/>
        <w:shd w:val="clear" w:color="auto" w:fill="auto"/>
        <w:spacing w:line="317" w:lineRule="exact"/>
      </w:pPr>
      <w:r>
        <w:t>Č. j.:</w:t>
      </w:r>
    </w:p>
    <w:p w:rsidR="002C0DB2" w:rsidRDefault="00CB5641">
      <w:pPr>
        <w:pStyle w:val="Zkladntext30"/>
        <w:framePr w:w="2170" w:h="1964" w:hRule="exact" w:wrap="none" w:vAnchor="page" w:hAnchor="page" w:x="2347" w:y="4892"/>
        <w:shd w:val="clear" w:color="auto" w:fill="auto"/>
      </w:pPr>
      <w:r>
        <w:t>MHMP 264825/2021</w:t>
      </w:r>
    </w:p>
    <w:p w:rsidR="002C0DB2" w:rsidRDefault="00CB5641">
      <w:pPr>
        <w:pStyle w:val="Zkladntext20"/>
        <w:framePr w:w="2170" w:h="1964" w:hRule="exact" w:wrap="none" w:vAnchor="page" w:hAnchor="page" w:x="2347" w:y="4892"/>
        <w:shd w:val="clear" w:color="auto" w:fill="auto"/>
        <w:spacing w:line="317" w:lineRule="exact"/>
      </w:pPr>
      <w:proofErr w:type="spellStart"/>
      <w:r>
        <w:t>Sp</w:t>
      </w:r>
      <w:proofErr w:type="spellEnd"/>
      <w:r>
        <w:t>. zn.:</w:t>
      </w:r>
    </w:p>
    <w:p w:rsidR="002C0DB2" w:rsidRDefault="00CB5641">
      <w:pPr>
        <w:pStyle w:val="Zkladntext30"/>
        <w:framePr w:w="2170" w:h="1964" w:hRule="exact" w:wrap="none" w:vAnchor="page" w:hAnchor="page" w:x="2347" w:y="4892"/>
        <w:shd w:val="clear" w:color="auto" w:fill="auto"/>
      </w:pPr>
      <w:r>
        <w:t>S-MHMP 95736/2021</w:t>
      </w:r>
    </w:p>
    <w:p w:rsidR="002C0DB2" w:rsidRDefault="00CB5641">
      <w:pPr>
        <w:pStyle w:val="Zkladntext20"/>
        <w:framePr w:w="8587" w:h="1967" w:hRule="exact" w:wrap="none" w:vAnchor="page" w:hAnchor="page" w:x="2328" w:y="4889"/>
        <w:shd w:val="clear" w:color="auto" w:fill="auto"/>
        <w:spacing w:line="317" w:lineRule="exact"/>
        <w:ind w:left="4445" w:right="1392"/>
        <w:jc w:val="both"/>
      </w:pPr>
      <w:r>
        <w:t>Vyřizuje/tel.:</w:t>
      </w:r>
    </w:p>
    <w:p w:rsidR="002C0DB2" w:rsidRDefault="00BA77F4">
      <w:pPr>
        <w:pStyle w:val="Zkladntext30"/>
        <w:framePr w:w="8587" w:h="1967" w:hRule="exact" w:wrap="none" w:vAnchor="page" w:hAnchor="page" w:x="2328" w:y="4889"/>
        <w:shd w:val="clear" w:color="auto" w:fill="auto"/>
        <w:ind w:left="4445" w:right="1420"/>
      </w:pPr>
      <w:r>
        <w:t>XXXXXXXXXXXXX</w:t>
      </w:r>
      <w:r w:rsidR="00CB5641">
        <w:br/>
        <w:t>236 00 2336</w:t>
      </w:r>
    </w:p>
    <w:p w:rsidR="002C0DB2" w:rsidRDefault="00CB5641">
      <w:pPr>
        <w:pStyle w:val="Zkladntext20"/>
        <w:framePr w:w="8587" w:h="1967" w:hRule="exact" w:wrap="none" w:vAnchor="page" w:hAnchor="page" w:x="2328" w:y="4889"/>
        <w:shd w:val="clear" w:color="auto" w:fill="auto"/>
        <w:spacing w:line="317" w:lineRule="exact"/>
        <w:ind w:left="4445" w:right="1420"/>
      </w:pPr>
      <w:r>
        <w:t xml:space="preserve">Počet listů/příloh: </w:t>
      </w:r>
      <w:r>
        <w:rPr>
          <w:rStyle w:val="Zkladntext2Tun"/>
        </w:rPr>
        <w:t>4/0</w:t>
      </w:r>
      <w:r>
        <w:rPr>
          <w:rStyle w:val="Zkladntext2Tun"/>
        </w:rPr>
        <w:br/>
      </w:r>
      <w:r>
        <w:t>Datum:</w:t>
      </w:r>
    </w:p>
    <w:p w:rsidR="002C0DB2" w:rsidRDefault="00CB5641">
      <w:pPr>
        <w:pStyle w:val="Nadpis20"/>
        <w:framePr w:w="8587" w:h="1967" w:hRule="exact" w:wrap="none" w:vAnchor="page" w:hAnchor="page" w:x="2328" w:y="4889"/>
        <w:shd w:val="clear" w:color="auto" w:fill="auto"/>
        <w:spacing w:after="0"/>
        <w:ind w:left="4445" w:right="1392"/>
      </w:pPr>
      <w:bookmarkStart w:id="1" w:name="bookmark1"/>
      <w:proofErr w:type="gramStart"/>
      <w:r>
        <w:t>12.03.2021</w:t>
      </w:r>
      <w:bookmarkEnd w:id="1"/>
      <w:proofErr w:type="gramEnd"/>
    </w:p>
    <w:p w:rsidR="002C0DB2" w:rsidRDefault="00CB5641">
      <w:pPr>
        <w:pStyle w:val="ZhlavneboZpat0"/>
        <w:framePr w:wrap="none" w:vAnchor="page" w:hAnchor="page" w:x="547" w:y="16111"/>
        <w:shd w:val="clear" w:color="auto" w:fill="auto"/>
        <w:spacing w:line="180" w:lineRule="exact"/>
      </w:pPr>
      <w:r>
        <w:t>1/4</w:t>
      </w:r>
    </w:p>
    <w:p w:rsidR="002C0DB2" w:rsidRDefault="00CB5641">
      <w:pPr>
        <w:pStyle w:val="Nadpis20"/>
        <w:framePr w:w="8587" w:h="8938" w:hRule="exact" w:wrap="none" w:vAnchor="page" w:hAnchor="page" w:x="2328" w:y="7418"/>
        <w:shd w:val="clear" w:color="auto" w:fill="auto"/>
        <w:spacing w:after="240" w:line="220" w:lineRule="exact"/>
      </w:pPr>
      <w:bookmarkStart w:id="2" w:name="bookmark2"/>
      <w:r>
        <w:t>ZÁVAZNÉ STANOVISKO</w:t>
      </w:r>
      <w:bookmarkEnd w:id="2"/>
    </w:p>
    <w:p w:rsidR="002C0DB2" w:rsidRDefault="00CB5641">
      <w:pPr>
        <w:pStyle w:val="Zkladntext20"/>
        <w:framePr w:w="8587" w:h="8938" w:hRule="exact" w:wrap="none" w:vAnchor="page" w:hAnchor="page" w:x="2328" w:y="7418"/>
        <w:shd w:val="clear" w:color="auto" w:fill="auto"/>
        <w:spacing w:after="240" w:line="288" w:lineRule="exact"/>
        <w:jc w:val="both"/>
      </w:pPr>
      <w:r>
        <w:t>Magistrát hl. m. Prahy, odbor památkové péče (dále jen MHMP OPP), jako dotčený orgán státní</w:t>
      </w:r>
      <w:r>
        <w:br/>
        <w:t>památkové péče na území hlavního města Prahy věcně a místně příslušný podle § 29 odst. 2</w:t>
      </w:r>
      <w:r>
        <w:br/>
        <w:t>písm. b), e) zákona č. 20/1987 Sb., o státní památkové péči, ve znění pozdějších předpisů,</w:t>
      </w:r>
      <w:r>
        <w:br/>
        <w:t>posoudil žádost vlastníka dotčené nemovitosti: HLAVNÍ MĚSTO PRAHA, IČO: 000 64 581,</w:t>
      </w:r>
      <w:r>
        <w:br/>
        <w:t>Mariánské náměstí 2/2, 110 00 Praha 1, kterou podal: Správa pražských hřbitovů, příspěvková</w:t>
      </w:r>
      <w:r>
        <w:br/>
        <w:t>organizace, IČO: 452 45 801, Vinohradská 2807/153c, 130 00 Praha 3, v zastoupení na základě</w:t>
      </w:r>
      <w:r>
        <w:br/>
        <w:t>zřizovací listiny příspěvkové organizace Správa pražských hřbitovů ze dne 19. 12. 2019,</w:t>
      </w:r>
      <w:r>
        <w:br/>
        <w:t>o vydání závazného stanoviska</w:t>
      </w:r>
    </w:p>
    <w:p w:rsidR="002C0DB2" w:rsidRDefault="00CB5641">
      <w:pPr>
        <w:pStyle w:val="Nadpis20"/>
        <w:framePr w:w="8587" w:h="8938" w:hRule="exact" w:wrap="none" w:vAnchor="page" w:hAnchor="page" w:x="2328" w:y="7418"/>
        <w:shd w:val="clear" w:color="auto" w:fill="auto"/>
        <w:spacing w:after="240" w:line="288" w:lineRule="exact"/>
      </w:pPr>
      <w:bookmarkStart w:id="3" w:name="bookmark3"/>
      <w:r>
        <w:rPr>
          <w:rStyle w:val="Nadpis2Netun"/>
        </w:rPr>
        <w:t xml:space="preserve">ve věci udržovacích prací </w:t>
      </w:r>
      <w:r>
        <w:t xml:space="preserve">nemovitosti č. p. 2254, k. </w:t>
      </w:r>
      <w:proofErr w:type="spellStart"/>
      <w:r>
        <w:t>ú.</w:t>
      </w:r>
      <w:proofErr w:type="spellEnd"/>
      <w:r>
        <w:t xml:space="preserve"> Vinohrady, Vinohradská 218,</w:t>
      </w:r>
      <w:r>
        <w:br/>
        <w:t>Praha 10,</w:t>
      </w:r>
      <w:bookmarkEnd w:id="3"/>
    </w:p>
    <w:p w:rsidR="002C0DB2" w:rsidRDefault="00CB5641">
      <w:pPr>
        <w:pStyle w:val="Zkladntext20"/>
        <w:framePr w:w="8587" w:h="8938" w:hRule="exact" w:wrap="none" w:vAnchor="page" w:hAnchor="page" w:x="2328" w:y="7418"/>
        <w:shd w:val="clear" w:color="auto" w:fill="auto"/>
        <w:spacing w:after="240" w:line="288" w:lineRule="exact"/>
        <w:jc w:val="both"/>
      </w:pPr>
      <w:r>
        <w:t>která je nemovitou kulturní památkou, zapsanou v Ústředním seznamu kulturních památek pod</w:t>
      </w:r>
      <w:r>
        <w:br/>
        <w:t>číslem rejstříku ÚSKP 40765/1-1670 (krematorium) a zároveň je v ochranném pásmu</w:t>
      </w:r>
      <w:r>
        <w:br/>
        <w:t>památkové rezervace v hl. m. Praze, vyhlášeném rozhodnutím bývalého odboru kultury NVP č.</w:t>
      </w:r>
      <w:r>
        <w:br/>
        <w:t>j. Kul/5-932/81 ze dne 19. 5. 1981 o určení ochranného pásma památkové rezervace v hl. m.</w:t>
      </w:r>
      <w:r>
        <w:br/>
        <w:t>Praze a jeho doplňkem ze dne 9. 7. 1981, kterými se určuje toto ochranné pásmo a podmínky</w:t>
      </w:r>
      <w:r>
        <w:br/>
        <w:t>pro činnost v něm,</w:t>
      </w:r>
    </w:p>
    <w:p w:rsidR="002C0DB2" w:rsidRDefault="00CB5641">
      <w:pPr>
        <w:pStyle w:val="Nadpis20"/>
        <w:framePr w:w="8587" w:h="8938" w:hRule="exact" w:wrap="none" w:vAnchor="page" w:hAnchor="page" w:x="2328" w:y="7418"/>
        <w:shd w:val="clear" w:color="auto" w:fill="auto"/>
        <w:spacing w:after="0" w:line="288" w:lineRule="exact"/>
      </w:pPr>
      <w:bookmarkStart w:id="4" w:name="bookmark4"/>
      <w:r>
        <w:t>spočívající v úpravách s následujícími podrobnostmi:</w:t>
      </w:r>
      <w:bookmarkEnd w:id="4"/>
    </w:p>
    <w:p w:rsidR="002C0DB2" w:rsidRDefault="00CB5641">
      <w:pPr>
        <w:pStyle w:val="Zkladntext20"/>
        <w:framePr w:w="8587" w:h="8938" w:hRule="exact" w:wrap="none" w:vAnchor="page" w:hAnchor="page" w:x="2328" w:y="7418"/>
        <w:numPr>
          <w:ilvl w:val="0"/>
          <w:numId w:val="1"/>
        </w:numPr>
        <w:shd w:val="clear" w:color="auto" w:fill="auto"/>
        <w:tabs>
          <w:tab w:val="left" w:pos="208"/>
        </w:tabs>
        <w:spacing w:line="288" w:lineRule="exact"/>
        <w:jc w:val="both"/>
      </w:pPr>
      <w:r>
        <w:t>demontáž stávající střešní krytiny a veškerého oplechování,</w:t>
      </w:r>
    </w:p>
    <w:p w:rsidR="002C0DB2" w:rsidRDefault="00CB5641">
      <w:pPr>
        <w:pStyle w:val="Zkladntext20"/>
        <w:framePr w:w="8587" w:h="8938" w:hRule="exact" w:wrap="none" w:vAnchor="page" w:hAnchor="page" w:x="2328" w:y="7418"/>
        <w:numPr>
          <w:ilvl w:val="0"/>
          <w:numId w:val="1"/>
        </w:numPr>
        <w:shd w:val="clear" w:color="auto" w:fill="auto"/>
        <w:tabs>
          <w:tab w:val="left" w:pos="208"/>
        </w:tabs>
        <w:spacing w:line="288" w:lineRule="exact"/>
        <w:jc w:val="both"/>
      </w:pPr>
      <w:r>
        <w:t>demontáž poškozeného bednění a provedení mykologického průzkumu,</w:t>
      </w:r>
    </w:p>
    <w:p w:rsidR="002C0DB2" w:rsidRDefault="00CB5641">
      <w:pPr>
        <w:pStyle w:val="Zkladntext20"/>
        <w:framePr w:w="8587" w:h="8938" w:hRule="exact" w:wrap="none" w:vAnchor="page" w:hAnchor="page" w:x="2328" w:y="7418"/>
        <w:numPr>
          <w:ilvl w:val="0"/>
          <w:numId w:val="1"/>
        </w:numPr>
        <w:shd w:val="clear" w:color="auto" w:fill="auto"/>
        <w:tabs>
          <w:tab w:val="left" w:pos="208"/>
        </w:tabs>
        <w:spacing w:line="288" w:lineRule="exact"/>
        <w:jc w:val="both"/>
      </w:pPr>
      <w:r>
        <w:t>oprava bednění, výměna vadných částí a souvisejících prvků,</w:t>
      </w:r>
    </w:p>
    <w:p w:rsidR="002C0DB2" w:rsidRDefault="00CB5641">
      <w:pPr>
        <w:pStyle w:val="Zkladntext20"/>
        <w:framePr w:w="8587" w:h="8938" w:hRule="exact" w:wrap="none" w:vAnchor="page" w:hAnchor="page" w:x="2328" w:y="7418"/>
        <w:numPr>
          <w:ilvl w:val="0"/>
          <w:numId w:val="1"/>
        </w:numPr>
        <w:shd w:val="clear" w:color="auto" w:fill="auto"/>
        <w:tabs>
          <w:tab w:val="left" w:pos="208"/>
        </w:tabs>
        <w:spacing w:line="288" w:lineRule="exact"/>
        <w:jc w:val="both"/>
      </w:pPr>
      <w:r>
        <w:t xml:space="preserve">položení nové drážkované krytiny z měděného plechu </w:t>
      </w:r>
      <w:proofErr w:type="spellStart"/>
      <w:r>
        <w:t>tl</w:t>
      </w:r>
      <w:proofErr w:type="spellEnd"/>
      <w:r>
        <w:t>. 0,6 mm (rozteč drážek 600 mm),</w:t>
      </w:r>
    </w:p>
    <w:p w:rsidR="002C0DB2" w:rsidRDefault="00CB5641">
      <w:pPr>
        <w:pStyle w:val="Zkladntext20"/>
        <w:framePr w:w="8587" w:h="8938" w:hRule="exact" w:wrap="none" w:vAnchor="page" w:hAnchor="page" w:x="2328" w:y="7418"/>
        <w:numPr>
          <w:ilvl w:val="0"/>
          <w:numId w:val="1"/>
        </w:numPr>
        <w:shd w:val="clear" w:color="auto" w:fill="auto"/>
        <w:tabs>
          <w:tab w:val="left" w:pos="208"/>
        </w:tabs>
        <w:spacing w:line="288" w:lineRule="exact"/>
        <w:ind w:right="4992"/>
        <w:jc w:val="both"/>
      </w:pPr>
      <w:r>
        <w:t>provedení detailů odvětrání střechy,</w:t>
      </w:r>
    </w:p>
    <w:p w:rsidR="002C0DB2" w:rsidRDefault="00CB5641">
      <w:pPr>
        <w:pStyle w:val="Zkladntext40"/>
        <w:framePr w:w="8587" w:h="8938" w:hRule="exact" w:wrap="none" w:vAnchor="page" w:hAnchor="page" w:x="2328" w:y="7418"/>
        <w:shd w:val="clear" w:color="auto" w:fill="auto"/>
      </w:pPr>
      <w:r>
        <w:t>Sídlo: Mariánské nám. 2/2, 110 01 Praha 1</w:t>
      </w:r>
      <w:r>
        <w:br/>
        <w:t>Pracoviště: Jungmannova 35/29, 110 00 Praha 1</w:t>
      </w:r>
      <w:r>
        <w:br/>
        <w:t>Kontaktní centrum: 12 444, fax: 236 007 157</w:t>
      </w:r>
      <w:r>
        <w:br/>
        <w:t>E-mail:</w:t>
      </w:r>
      <w:hyperlink r:id="rId8" w:history="1">
        <w:r>
          <w:rPr>
            <w:rStyle w:val="Hypertextovodkaz"/>
          </w:rPr>
          <w:t xml:space="preserve"> posta@praha.eu</w:t>
        </w:r>
        <w:r>
          <w:rPr>
            <w:rStyle w:val="Hypertextovodkaz"/>
            <w:lang w:val="en-US" w:eastAsia="en-US" w:bidi="en-US"/>
          </w:rPr>
          <w:t xml:space="preserve">. </w:t>
        </w:r>
      </w:hyperlink>
      <w:r>
        <w:t>ID DS: 48ia97h</w:t>
      </w:r>
    </w:p>
    <w:p w:rsidR="002C0DB2" w:rsidRDefault="00CB5641">
      <w:pPr>
        <w:pStyle w:val="Zkladntext50"/>
        <w:framePr w:w="1910" w:h="790" w:hRule="exact" w:wrap="none" w:vAnchor="page" w:hAnchor="page" w:x="9744" w:y="15714"/>
        <w:shd w:val="clear" w:color="auto" w:fill="auto"/>
      </w:pPr>
      <w:r>
        <w:t xml:space="preserve">Elektronický podpis - 17.3.2021 Certifikát autora </w:t>
      </w:r>
      <w:proofErr w:type="gramStart"/>
      <w:r>
        <w:t>podpisu :</w:t>
      </w:r>
      <w:proofErr w:type="gramEnd"/>
    </w:p>
    <w:p w:rsidR="002C0DB2" w:rsidRDefault="00CB5641">
      <w:pPr>
        <w:pStyle w:val="Zkladntext60"/>
        <w:framePr w:w="1910" w:h="790" w:hRule="exact" w:wrap="none" w:vAnchor="page" w:hAnchor="page" w:x="9744" w:y="15714"/>
        <w:shd w:val="clear" w:color="auto" w:fill="auto"/>
      </w:pPr>
      <w:r>
        <w:t xml:space="preserve">Jméno : Mgr. Jiří Skalický Vydal : ACAeID3.I - </w:t>
      </w:r>
      <w:proofErr w:type="spellStart"/>
      <w:r>
        <w:t>Issuing</w:t>
      </w:r>
      <w:proofErr w:type="spellEnd"/>
      <w:r>
        <w:t xml:space="preserve"> </w:t>
      </w:r>
      <w:proofErr w:type="spellStart"/>
      <w:proofErr w:type="gramStart"/>
      <w:r>
        <w:t>Ce</w:t>
      </w:r>
      <w:proofErr w:type="spellEnd"/>
      <w:r>
        <w:t>...</w:t>
      </w:r>
      <w:proofErr w:type="gramEnd"/>
    </w:p>
    <w:p w:rsidR="002C0DB2" w:rsidRDefault="00CB5641">
      <w:pPr>
        <w:pStyle w:val="Zkladntext60"/>
        <w:framePr w:w="1910" w:h="790" w:hRule="exact" w:wrap="none" w:vAnchor="page" w:hAnchor="page" w:x="9744" w:y="15714"/>
        <w:shd w:val="clear" w:color="auto" w:fill="auto"/>
      </w:pPr>
      <w:r>
        <w:t xml:space="preserve">Platnost </w:t>
      </w:r>
      <w:proofErr w:type="gramStart"/>
      <w:r>
        <w:t>do</w:t>
      </w:r>
      <w:proofErr w:type="gramEnd"/>
      <w:r>
        <w:t>: 13.7.2021 14:10:50-000+02:00</w:t>
      </w:r>
    </w:p>
    <w:p w:rsidR="002C0DB2" w:rsidRDefault="002C0DB2">
      <w:pPr>
        <w:rPr>
          <w:sz w:val="2"/>
          <w:szCs w:val="2"/>
        </w:rPr>
        <w:sectPr w:rsidR="002C0DB2">
          <w:pgSz w:w="11900" w:h="16840"/>
          <w:pgMar w:top="360" w:right="360" w:bottom="360" w:left="360" w:header="0" w:footer="3" w:gutter="0"/>
          <w:cols w:space="720"/>
          <w:noEndnote/>
          <w:docGrid w:linePitch="360"/>
        </w:sectPr>
      </w:pPr>
    </w:p>
    <w:p w:rsidR="002C0DB2" w:rsidRDefault="00CB5641">
      <w:pPr>
        <w:pStyle w:val="Zkladntext20"/>
        <w:framePr w:w="8573" w:h="13669" w:hRule="exact" w:wrap="none" w:vAnchor="page" w:hAnchor="page" w:x="2341" w:y="1124"/>
        <w:numPr>
          <w:ilvl w:val="0"/>
          <w:numId w:val="1"/>
        </w:numPr>
        <w:shd w:val="clear" w:color="auto" w:fill="auto"/>
        <w:tabs>
          <w:tab w:val="left" w:pos="198"/>
        </w:tabs>
        <w:spacing w:line="220" w:lineRule="exact"/>
        <w:jc w:val="both"/>
      </w:pPr>
      <w:r>
        <w:lastRenderedPageBreak/>
        <w:t>provedení oplechování všech částí střechy, včetně žlabů a napojení na komíny a atiky,</w:t>
      </w:r>
    </w:p>
    <w:p w:rsidR="002C0DB2" w:rsidRDefault="00CB5641">
      <w:pPr>
        <w:pStyle w:val="Zkladntext20"/>
        <w:framePr w:w="8573" w:h="13669" w:hRule="exact" w:wrap="none" w:vAnchor="page" w:hAnchor="page" w:x="2341" w:y="1124"/>
        <w:numPr>
          <w:ilvl w:val="0"/>
          <w:numId w:val="1"/>
        </w:numPr>
        <w:shd w:val="clear" w:color="auto" w:fill="auto"/>
        <w:tabs>
          <w:tab w:val="left" w:pos="198"/>
        </w:tabs>
        <w:spacing w:after="240" w:line="220" w:lineRule="exact"/>
        <w:jc w:val="both"/>
      </w:pPr>
      <w:r>
        <w:t>vystrojení všech nezbytných detailů, hromosvodů a záchytného systému,</w:t>
      </w:r>
    </w:p>
    <w:p w:rsidR="002C0DB2" w:rsidRDefault="00CB5641">
      <w:pPr>
        <w:pStyle w:val="Zkladntext20"/>
        <w:framePr w:w="8573" w:h="13669" w:hRule="exact" w:wrap="none" w:vAnchor="page" w:hAnchor="page" w:x="2341" w:y="1124"/>
        <w:shd w:val="clear" w:color="auto" w:fill="auto"/>
        <w:spacing w:after="244" w:line="293" w:lineRule="exact"/>
        <w:jc w:val="both"/>
      </w:pPr>
      <w:r>
        <w:t xml:space="preserve">a vydává podle ustanovení § 14 odst. 1 v souladu s § 14 odst. 3, § 44a odst. 3 zákona č. 20/1987 Sb., o státní památkové péči, ve znění pozdějších předpisů, toto </w:t>
      </w:r>
      <w:r>
        <w:rPr>
          <w:rStyle w:val="Zkladntext2Tun"/>
        </w:rPr>
        <w:t>závazné stanovisko podle § 149 zákona č. 500/2004 Sb</w:t>
      </w:r>
      <w:r>
        <w:t>., správní řád, ve znění pozdějších předpisů:</w:t>
      </w:r>
    </w:p>
    <w:p w:rsidR="002C0DB2" w:rsidRPr="00BA77F4" w:rsidRDefault="00CB5641">
      <w:pPr>
        <w:pStyle w:val="Zkladntext20"/>
        <w:framePr w:w="8573" w:h="13669" w:hRule="exact" w:wrap="none" w:vAnchor="page" w:hAnchor="page" w:x="2341" w:y="1124"/>
        <w:shd w:val="clear" w:color="auto" w:fill="auto"/>
        <w:tabs>
          <w:tab w:val="left" w:pos="4349"/>
        </w:tabs>
        <w:spacing w:line="288" w:lineRule="exact"/>
        <w:jc w:val="both"/>
      </w:pPr>
      <w:r>
        <w:t>Navrhované práce v rozsahu předložené projektové dokumentace „Rekonstrukce střechy krematoria Strašnice“, kterou zpracovala:</w:t>
      </w:r>
      <w:r>
        <w:tab/>
      </w:r>
      <w:r w:rsidR="00BA77F4" w:rsidRPr="00BA77F4">
        <w:rPr>
          <w:b/>
        </w:rPr>
        <w:t>XXXXXXXXXXXXXXXXXXXXXX</w:t>
      </w:r>
      <w:r w:rsidRPr="00BA77F4">
        <w:rPr>
          <w:b/>
        </w:rPr>
        <w:t>,</w:t>
      </w:r>
    </w:p>
    <w:p w:rsidR="002C0DB2" w:rsidRDefault="00BA77F4">
      <w:pPr>
        <w:pStyle w:val="Zkladntext20"/>
        <w:framePr w:w="8573" w:h="13669" w:hRule="exact" w:wrap="none" w:vAnchor="page" w:hAnchor="page" w:x="2341" w:y="1124"/>
        <w:shd w:val="clear" w:color="auto" w:fill="auto"/>
        <w:spacing w:after="294" w:line="288" w:lineRule="exact"/>
        <w:jc w:val="both"/>
      </w:pPr>
      <w:r w:rsidRPr="00BA77F4">
        <w:rPr>
          <w:b/>
        </w:rPr>
        <w:t>XXXXXXXXXXXXXXXXXXXXXXXXXXXXXXXX</w:t>
      </w:r>
      <w:r w:rsidR="00CB5641">
        <w:t xml:space="preserve"> jsou z hlediska zájmů státní památkové péče </w:t>
      </w:r>
      <w:r w:rsidR="00CB5641">
        <w:rPr>
          <w:rStyle w:val="Zkladntext2Tun"/>
        </w:rPr>
        <w:t xml:space="preserve">p ř í p u s t n é </w:t>
      </w:r>
      <w:r w:rsidR="00CB5641">
        <w:t>bez podmínek.</w:t>
      </w:r>
    </w:p>
    <w:p w:rsidR="002C0DB2" w:rsidRDefault="00CB5641">
      <w:pPr>
        <w:pStyle w:val="Zkladntext30"/>
        <w:framePr w:w="8573" w:h="13669" w:hRule="exact" w:wrap="none" w:vAnchor="page" w:hAnchor="page" w:x="2341" w:y="1124"/>
        <w:shd w:val="clear" w:color="auto" w:fill="auto"/>
        <w:spacing w:after="244" w:line="220" w:lineRule="exact"/>
        <w:jc w:val="both"/>
      </w:pPr>
      <w:r>
        <w:t>Odůvodnění:</w:t>
      </w:r>
    </w:p>
    <w:p w:rsidR="002C0DB2" w:rsidRDefault="00CB5641">
      <w:pPr>
        <w:pStyle w:val="Zkladntext20"/>
        <w:framePr w:w="8573" w:h="13669" w:hRule="exact" w:wrap="none" w:vAnchor="page" w:hAnchor="page" w:x="2341" w:y="1124"/>
        <w:shd w:val="clear" w:color="auto" w:fill="auto"/>
        <w:spacing w:after="240" w:line="288" w:lineRule="exact"/>
        <w:jc w:val="both"/>
      </w:pPr>
      <w:r>
        <w:t>Podle ustanovení § 14 odst. 1 zákona č. 20/1987 Sb., o státní památkové péči, ve znění pozdějších předpisů, byla dne 25. 1. 2021 podána oprávněnou osobou žádost o vydání závazného stanoviska k návrhu výše uvedených udržovacích prací na předmětné nemovitosti v rozsahu předložené dokumentace.</w:t>
      </w:r>
    </w:p>
    <w:p w:rsidR="002C0DB2" w:rsidRDefault="00CB5641">
      <w:pPr>
        <w:pStyle w:val="Zkladntext20"/>
        <w:framePr w:w="8573" w:h="13669" w:hRule="exact" w:wrap="none" w:vAnchor="page" w:hAnchor="page" w:x="2341" w:y="1124"/>
        <w:shd w:val="clear" w:color="auto" w:fill="auto"/>
        <w:spacing w:line="288" w:lineRule="exact"/>
        <w:jc w:val="both"/>
      </w:pPr>
      <w:r>
        <w:t>Žádost obsahuje následující doklady a podklady:</w:t>
      </w:r>
    </w:p>
    <w:p w:rsidR="002C0DB2" w:rsidRDefault="00CB5641">
      <w:pPr>
        <w:pStyle w:val="Zkladntext20"/>
        <w:framePr w:w="8573" w:h="13669" w:hRule="exact" w:wrap="none" w:vAnchor="page" w:hAnchor="page" w:x="2341" w:y="1124"/>
        <w:numPr>
          <w:ilvl w:val="0"/>
          <w:numId w:val="1"/>
        </w:numPr>
        <w:shd w:val="clear" w:color="auto" w:fill="auto"/>
        <w:tabs>
          <w:tab w:val="left" w:pos="353"/>
        </w:tabs>
        <w:spacing w:line="288" w:lineRule="exact"/>
        <w:jc w:val="both"/>
      </w:pPr>
      <w:r>
        <w:t>zřizovací listina příspěvkové organizace Správa pražských hřbitovů ze dne 19. 12. 2019,</w:t>
      </w:r>
    </w:p>
    <w:p w:rsidR="002C0DB2" w:rsidRDefault="00CB5641">
      <w:pPr>
        <w:pStyle w:val="Zkladntext20"/>
        <w:framePr w:w="8573" w:h="13669" w:hRule="exact" w:wrap="none" w:vAnchor="page" w:hAnchor="page" w:x="2341" w:y="1124"/>
        <w:numPr>
          <w:ilvl w:val="0"/>
          <w:numId w:val="1"/>
        </w:numPr>
        <w:shd w:val="clear" w:color="auto" w:fill="auto"/>
        <w:tabs>
          <w:tab w:val="left" w:pos="353"/>
        </w:tabs>
        <w:spacing w:after="240" w:line="288" w:lineRule="exact"/>
        <w:jc w:val="both"/>
      </w:pPr>
      <w:r>
        <w:t>projekt identifikovaný.</w:t>
      </w:r>
    </w:p>
    <w:p w:rsidR="002C0DB2" w:rsidRDefault="00CB5641">
      <w:pPr>
        <w:pStyle w:val="Zkladntext20"/>
        <w:framePr w:w="8573" w:h="13669" w:hRule="exact" w:wrap="none" w:vAnchor="page" w:hAnchor="page" w:x="2341" w:y="1124"/>
        <w:shd w:val="clear" w:color="auto" w:fill="auto"/>
        <w:spacing w:after="240" w:line="288" w:lineRule="exact"/>
        <w:jc w:val="both"/>
      </w:pPr>
      <w:r>
        <w:t>Usnesením č. j. MHMP 138704/2021 ze dne 2. 2. 2021 rozhodl MHMP OPP v souladu s § 149 odst. 4 zákona č. 500/2004 Sb., správní řád, ve znění pozdějších předpisů (dále jen správní řád), ve spojení s § 76 správního řádu a § 4 odst. 9 zákona č. 183/2006 Sb., o územním plánování a stavebním řádu, ve znění pozdějších předpisů (dále jen stavební zákon), o prodloužení lhůty pro vydání závazného stanoviska. Žadatel byl o této skutečnosti vyrozuměn přípisem č. j. MHMP 138767/2021 ze dne 2. 2. 2021, který mu byl doručen dne 3. 2. 2021.</w:t>
      </w:r>
    </w:p>
    <w:p w:rsidR="002C0DB2" w:rsidRDefault="00CB5641">
      <w:pPr>
        <w:pStyle w:val="Zkladntext20"/>
        <w:framePr w:w="8573" w:h="13669" w:hRule="exact" w:wrap="none" w:vAnchor="page" w:hAnchor="page" w:x="2341" w:y="1124"/>
        <w:shd w:val="clear" w:color="auto" w:fill="auto"/>
        <w:spacing w:after="240" w:line="288" w:lineRule="exact"/>
        <w:jc w:val="both"/>
      </w:pPr>
      <w:r>
        <w:t>MHMP OPP požádal dne 29. 1. 2021 Národní památkový ústav, územní odborné pracoviště v Praze (dále jen NPÚ ÚOP PR), o zpracování písemného vyjádření k předloženému návrhu v zákonné lhůtě 20 dnů ode dne doručení žádosti o jeho vypracování.</w:t>
      </w:r>
    </w:p>
    <w:p w:rsidR="002C0DB2" w:rsidRDefault="00CB5641">
      <w:pPr>
        <w:pStyle w:val="Zkladntext20"/>
        <w:framePr w:w="8573" w:h="13669" w:hRule="exact" w:wrap="none" w:vAnchor="page" w:hAnchor="page" w:x="2341" w:y="1124"/>
        <w:shd w:val="clear" w:color="auto" w:fill="auto"/>
        <w:spacing w:after="240" w:line="288" w:lineRule="exact"/>
        <w:jc w:val="both"/>
      </w:pPr>
      <w:r>
        <w:t>Ve smyslu ustanovení § 14 odst. 6 zákona č. 20/1987 Sb., o státní památkové péči, ve znění pozdějších předpisů (dále jen památkový zákon), bylo ve věci vydáno písemné vyjádření NPÚ ÚOP PR č. j. NPÚ-311/8488/2021 ze dne 23. 2. 2021, které MHMP OPP obdržel dne 23. 2. 2021. Ve svém vyjádření tato odborná organizace konstatuje, že zamýšlené práce jsou v souladu se zájmem ochrany výše uvedených kulturně historických hodnot.</w:t>
      </w:r>
    </w:p>
    <w:p w:rsidR="002C0DB2" w:rsidRDefault="00CB5641">
      <w:pPr>
        <w:pStyle w:val="Zkladntext20"/>
        <w:framePr w:w="8573" w:h="13669" w:hRule="exact" w:wrap="none" w:vAnchor="page" w:hAnchor="page" w:x="2341" w:y="1124"/>
        <w:shd w:val="clear" w:color="auto" w:fill="auto"/>
        <w:spacing w:after="240" w:line="288" w:lineRule="exact"/>
        <w:jc w:val="both"/>
      </w:pPr>
      <w:r>
        <w:t>Žadateli byla analogicky podle § 36 odst. 3 zákona č. 500/2004 Sb., správní řád, ve znění pozdějších předpisů, před vydáním závazného stanoviska ve věci dána možnost vyjádřit se k podkladům závazného stanoviska. Žadatel této možnosti nevyužil.</w:t>
      </w:r>
    </w:p>
    <w:p w:rsidR="002C0DB2" w:rsidRDefault="00CB5641">
      <w:pPr>
        <w:pStyle w:val="Zkladntext20"/>
        <w:framePr w:w="8573" w:h="13669" w:hRule="exact" w:wrap="none" w:vAnchor="page" w:hAnchor="page" w:x="2341" w:y="1124"/>
        <w:shd w:val="clear" w:color="auto" w:fill="auto"/>
        <w:spacing w:line="288" w:lineRule="exact"/>
        <w:jc w:val="both"/>
      </w:pPr>
      <w:r>
        <w:t>MHMP OPP, který žádost posoudil, se ztotožnil s písemným vyjádřením NPÚ ÚOP s tím, že navrhované práce, uvedené v předloženém návrhu, jsou z hlediska zájmů státní památkové péče přípustné bez podmínek.</w:t>
      </w:r>
    </w:p>
    <w:p w:rsidR="002C0DB2" w:rsidRDefault="00CB5641">
      <w:pPr>
        <w:pStyle w:val="ZhlavneboZpat0"/>
        <w:framePr w:wrap="none" w:vAnchor="page" w:hAnchor="page" w:x="527" w:y="16185"/>
        <w:shd w:val="clear" w:color="auto" w:fill="auto"/>
        <w:spacing w:line="180" w:lineRule="exact"/>
      </w:pPr>
      <w:r>
        <w:t>2/4</w:t>
      </w:r>
    </w:p>
    <w:p w:rsidR="002C0DB2" w:rsidRDefault="002C0DB2">
      <w:pPr>
        <w:rPr>
          <w:sz w:val="2"/>
          <w:szCs w:val="2"/>
        </w:rPr>
        <w:sectPr w:rsidR="002C0DB2">
          <w:pgSz w:w="11900" w:h="16840"/>
          <w:pgMar w:top="360" w:right="360" w:bottom="360" w:left="360" w:header="0" w:footer="3" w:gutter="0"/>
          <w:cols w:space="720"/>
          <w:noEndnote/>
          <w:docGrid w:linePitch="360"/>
        </w:sectPr>
      </w:pPr>
    </w:p>
    <w:p w:rsidR="002C0DB2" w:rsidRDefault="00CB5641">
      <w:pPr>
        <w:pStyle w:val="Zkladntext20"/>
        <w:framePr w:w="8573" w:h="11981" w:hRule="exact" w:wrap="none" w:vAnchor="page" w:hAnchor="page" w:x="2341" w:y="1074"/>
        <w:shd w:val="clear" w:color="auto" w:fill="auto"/>
        <w:spacing w:after="240" w:line="288" w:lineRule="exact"/>
        <w:jc w:val="both"/>
      </w:pPr>
      <w:r>
        <w:rPr>
          <w:rStyle w:val="Zkladntext2Tun"/>
        </w:rPr>
        <w:lastRenderedPageBreak/>
        <w:t xml:space="preserve">Nemovitost č. p. 2254, k. </w:t>
      </w:r>
      <w:proofErr w:type="spellStart"/>
      <w:r>
        <w:rPr>
          <w:rStyle w:val="Zkladntext2Tun"/>
        </w:rPr>
        <w:t>ú.</w:t>
      </w:r>
      <w:proofErr w:type="spellEnd"/>
      <w:r>
        <w:rPr>
          <w:rStyle w:val="Zkladntext2Tun"/>
        </w:rPr>
        <w:t xml:space="preserve"> Vinohrady, Vinohradská 218, Praha 10, </w:t>
      </w:r>
      <w:r>
        <w:t>je nemovitou kulturní památkou, zapsanou v Ústředním seznamu kulturních památek pod číslem rejstříku ÚSKP 40765/1-1670 (krematorium) a zároveň je v ochranném pásmu památkové rezervace v hl. m. Praze, vyhlášeném rozhodnutím bývalého odboru kultury NVP č. j. Kul/5-932/81 ze dne 19. 5. 1981 o určení ochranného pásma památkové rezervace v hl. m. Praze a jeho doplňkem ze dne 9. 7. 1981, kterými se určuje toto ochranné pásmo a podmínky pro činnost v něm.</w:t>
      </w:r>
    </w:p>
    <w:p w:rsidR="002C0DB2" w:rsidRDefault="00CB5641">
      <w:pPr>
        <w:pStyle w:val="Zkladntext20"/>
        <w:framePr w:w="8573" w:h="11981" w:hRule="exact" w:wrap="none" w:vAnchor="page" w:hAnchor="page" w:x="2341" w:y="1074"/>
        <w:shd w:val="clear" w:color="auto" w:fill="auto"/>
        <w:spacing w:after="240" w:line="288" w:lineRule="exact"/>
        <w:jc w:val="both"/>
      </w:pPr>
      <w:r>
        <w:t>Dotčený objekt zbudovaný v letech 1929 - 1930 je monumentální krychlová stavba v konstruktivistickém stylu. Jedná se o první krematorium v Praze postavené tak, aby odpovídalo novým požadavkům kremace. Jednotlivé urny jsou umístěny v širokém sloupovém portiku přecházejícím do pilířové arkády. Arkáda se dvakrát pravoúhle lomí a vytváří tak před krematoriem částečně uzavřené prostranství. Okolo centrální stavby obíhají nízké budovy. Po stranách vstupu ke krematoriu stojí dva zrcadlově postavené nízké konstruktivistické domky. Ostatní objekty při Vinohradské nejsou předmětem památkové ochrany. Krematorium Strašnice představuje jednu z nejvýznamnějších a největších obřadních síní v ČR. Byla postavena v duchu moderních požadavků na kremaci v období 1. republiky. Celkově je objektu dobře dochovaný a dobře slouží účelu, pro nějž byl zbudován.</w:t>
      </w:r>
    </w:p>
    <w:p w:rsidR="002C0DB2" w:rsidRDefault="00CB5641">
      <w:pPr>
        <w:pStyle w:val="Zkladntext20"/>
        <w:framePr w:w="8573" w:h="11981" w:hRule="exact" w:wrap="none" w:vAnchor="page" w:hAnchor="page" w:x="2341" w:y="1074"/>
        <w:shd w:val="clear" w:color="auto" w:fill="auto"/>
        <w:spacing w:after="240" w:line="288" w:lineRule="exact"/>
        <w:jc w:val="both"/>
      </w:pPr>
      <w:r>
        <w:t>V daném případě je předmětem ochrany objekt jako celek, zejména jeho architektonická kompozice, funerální architektura, včetně vegetační složky a veškeré autentické historické konstrukce, prvky a detaily.</w:t>
      </w:r>
    </w:p>
    <w:p w:rsidR="002C0DB2" w:rsidRDefault="00CB5641">
      <w:pPr>
        <w:pStyle w:val="Zkladntext70"/>
        <w:framePr w:w="8573" w:h="11981" w:hRule="exact" w:wrap="none" w:vAnchor="page" w:hAnchor="page" w:x="2341" w:y="1074"/>
        <w:shd w:val="clear" w:color="auto" w:fill="auto"/>
        <w:spacing w:before="0" w:after="232"/>
      </w:pPr>
      <w:r>
        <w:rPr>
          <w:rStyle w:val="Zkladntext7Nekurzva"/>
        </w:rPr>
        <w:t xml:space="preserve">Jak je uvedeno v písemném vyjádření odborné organizace, cit.: </w:t>
      </w:r>
      <w:r>
        <w:t>„Navržené úpravy se netýkají dochovaných autentických částí objektu. Jsou prováděny ve prospěch stavu objektu. Odstraňované části krytiny a související prvky jsou novodobé, poškozené a neopravitelné. Nově kladená krytina je odpovídající materiálem a provedením odpovídá původnímu řešení krematoria, kvalitně navržené jsou i všechny detaily oplechování a odvětrání střechy. “</w:t>
      </w:r>
      <w:r>
        <w:rPr>
          <w:rStyle w:val="Zkladntext7Nekurzva"/>
        </w:rPr>
        <w:t xml:space="preserve"> S výše uvedeným názorem odborné organizace se MHMP OPP ztotožňuje</w:t>
      </w:r>
    </w:p>
    <w:p w:rsidR="002C0DB2" w:rsidRDefault="00CB5641">
      <w:pPr>
        <w:pStyle w:val="Zkladntext20"/>
        <w:framePr w:w="8573" w:h="11981" w:hRule="exact" w:wrap="none" w:vAnchor="page" w:hAnchor="page" w:x="2341" w:y="1074"/>
        <w:shd w:val="clear" w:color="auto" w:fill="auto"/>
        <w:spacing w:after="248" w:line="298" w:lineRule="exact"/>
        <w:jc w:val="both"/>
      </w:pPr>
      <w:r>
        <w:t>Předložený návrh není v rozporu s režimem památkové ochrany kulturních památek na území Prahy a z hlediska památkové péče je tedy akceptovatelný.</w:t>
      </w:r>
    </w:p>
    <w:p w:rsidR="002C0DB2" w:rsidRDefault="00CB5641">
      <w:pPr>
        <w:pStyle w:val="Zkladntext20"/>
        <w:framePr w:w="8573" w:h="11981" w:hRule="exact" w:wrap="none" w:vAnchor="page" w:hAnchor="page" w:x="2341" w:y="1074"/>
        <w:shd w:val="clear" w:color="auto" w:fill="auto"/>
        <w:spacing w:after="240" w:line="288" w:lineRule="exact"/>
        <w:jc w:val="both"/>
      </w:pPr>
      <w:r>
        <w:t>MHMP OPP upozorňuje žadatele, že závazná stanoviska vydaná MHMP OPP jsou platná, pokud se nezmění předmět žádosti a navrhovaných prací. Ke všem novým požadavkům či úpravám řešení a novým skutečnostem zjištěným během stavby si musí vlastník (správce, uživatel) nemovitosti dle § 14 odst. 1 zákona předem vyžádat závazné stanovisko MHMP OPP.</w:t>
      </w:r>
    </w:p>
    <w:p w:rsidR="002C0DB2" w:rsidRDefault="00CB5641">
      <w:pPr>
        <w:pStyle w:val="Zkladntext20"/>
        <w:framePr w:w="8573" w:h="11981" w:hRule="exact" w:wrap="none" w:vAnchor="page" w:hAnchor="page" w:x="2341" w:y="1074"/>
        <w:shd w:val="clear" w:color="auto" w:fill="auto"/>
        <w:spacing w:line="288" w:lineRule="exact"/>
        <w:jc w:val="both"/>
      </w:pPr>
      <w:r>
        <w:t>Podle § 29 odst. 2 písm. b), § 44a odst. 3 zákona č. 20/1987 Sb., o státní památkové péči, ve znění pozdějších předpisů, § 136 odst. 1 a § 149 zákona č. 500/2004 Sb., správní řád, ve znění pozdějších předpisů, je toto závazné stanovisko úkonem učiněným dotčeným orgánem pro řízení vedené stavebním úřadem.</w:t>
      </w:r>
    </w:p>
    <w:p w:rsidR="002C0DB2" w:rsidRDefault="00CB5641">
      <w:pPr>
        <w:pStyle w:val="Nadpis20"/>
        <w:framePr w:w="8573" w:h="1751" w:hRule="exact" w:wrap="none" w:vAnchor="page" w:hAnchor="page" w:x="2341" w:y="13633"/>
        <w:shd w:val="clear" w:color="auto" w:fill="auto"/>
        <w:spacing w:after="244" w:line="220" w:lineRule="exact"/>
      </w:pPr>
      <w:bookmarkStart w:id="5" w:name="bookmark5"/>
      <w:r>
        <w:t>Poučení o opravném prostředku:</w:t>
      </w:r>
      <w:bookmarkEnd w:id="5"/>
    </w:p>
    <w:p w:rsidR="002C0DB2" w:rsidRDefault="00CB5641">
      <w:pPr>
        <w:pStyle w:val="Zkladntext20"/>
        <w:framePr w:w="8573" w:h="1751" w:hRule="exact" w:wrap="none" w:vAnchor="page" w:hAnchor="page" w:x="2341" w:y="13633"/>
        <w:shd w:val="clear" w:color="auto" w:fill="auto"/>
        <w:spacing w:line="288" w:lineRule="exact"/>
        <w:jc w:val="both"/>
      </w:pPr>
      <w:r>
        <w:t xml:space="preserve">Proti tomuto závaznému stanovisku </w:t>
      </w:r>
      <w:r>
        <w:rPr>
          <w:rStyle w:val="Zkladntext2Tun"/>
        </w:rPr>
        <w:t xml:space="preserve">nelze </w:t>
      </w:r>
      <w:r>
        <w:t xml:space="preserve">v souladu s ustanovením § 149 odst. 1 správního řádu </w:t>
      </w:r>
      <w:r>
        <w:rPr>
          <w:rStyle w:val="Zkladntext2Tun"/>
        </w:rPr>
        <w:t xml:space="preserve">podat samostatné odvolání, </w:t>
      </w:r>
      <w:r>
        <w:t>neboť tento úkon není samostatným rozhodnutím. Pokud toto závazné stanovisko znemožňuje vyhovět výše uvedené žádosti, příslušný stavební úřad v souladu s ustanovením § 149 odst. 6 správního řádu nebude provádět další dokazování a</w:t>
      </w:r>
    </w:p>
    <w:p w:rsidR="002C0DB2" w:rsidRDefault="00CB5641">
      <w:pPr>
        <w:pStyle w:val="ZhlavneboZpat0"/>
        <w:framePr w:wrap="none" w:vAnchor="page" w:hAnchor="page" w:x="531" w:y="16185"/>
        <w:shd w:val="clear" w:color="auto" w:fill="auto"/>
        <w:spacing w:line="180" w:lineRule="exact"/>
      </w:pPr>
      <w:r>
        <w:t>3/4</w:t>
      </w:r>
    </w:p>
    <w:p w:rsidR="002C0DB2" w:rsidRDefault="002C0DB2">
      <w:pPr>
        <w:rPr>
          <w:sz w:val="2"/>
          <w:szCs w:val="2"/>
        </w:rPr>
        <w:sectPr w:rsidR="002C0DB2">
          <w:pgSz w:w="11900" w:h="16840"/>
          <w:pgMar w:top="360" w:right="360" w:bottom="360" w:left="360" w:header="0" w:footer="3" w:gutter="0"/>
          <w:cols w:space="720"/>
          <w:noEndnote/>
          <w:docGrid w:linePitch="360"/>
        </w:sectPr>
      </w:pPr>
    </w:p>
    <w:p w:rsidR="002C0DB2" w:rsidRDefault="00CB5641">
      <w:pPr>
        <w:pStyle w:val="Zkladntext20"/>
        <w:framePr w:w="8558" w:h="927" w:hRule="exact" w:wrap="none" w:vAnchor="page" w:hAnchor="page" w:x="2348" w:y="1074"/>
        <w:shd w:val="clear" w:color="auto" w:fill="auto"/>
        <w:spacing w:line="288" w:lineRule="exact"/>
        <w:jc w:val="both"/>
      </w:pPr>
      <w:r>
        <w:lastRenderedPageBreak/>
        <w:t xml:space="preserve">žádost zamítne. </w:t>
      </w:r>
      <w:r>
        <w:rPr>
          <w:rStyle w:val="Zkladntext2Tun"/>
        </w:rPr>
        <w:t>Až proti rozhodnutí příslušného stavebního úřadu je možné podat odvolání</w:t>
      </w:r>
      <w:r>
        <w:t>, které umožní, aby bylo v souladu s ustanovením § 149 odst. 7 správního řádu přezkoumáno toto závazné stanovisko.</w:t>
      </w:r>
    </w:p>
    <w:p w:rsidR="002C0DB2" w:rsidRPr="00BA77F4" w:rsidRDefault="00BA77F4">
      <w:pPr>
        <w:pStyle w:val="Nadpis20"/>
        <w:framePr w:w="8558" w:h="1155" w:hRule="exact" w:wrap="none" w:vAnchor="page" w:hAnchor="page" w:x="2348" w:y="4614"/>
        <w:shd w:val="clear" w:color="auto" w:fill="auto"/>
        <w:spacing w:after="0" w:line="220" w:lineRule="exact"/>
      </w:pPr>
      <w:r>
        <w:t>XXXXXXXXXXX</w:t>
      </w:r>
      <w:bookmarkStart w:id="6" w:name="_GoBack"/>
      <w:bookmarkEnd w:id="6"/>
    </w:p>
    <w:p w:rsidR="002C0DB2" w:rsidRDefault="00CB5641">
      <w:pPr>
        <w:pStyle w:val="Zkladntext20"/>
        <w:framePr w:w="8558" w:h="1155" w:hRule="exact" w:wrap="none" w:vAnchor="page" w:hAnchor="page" w:x="2348" w:y="4614"/>
        <w:shd w:val="clear" w:color="auto" w:fill="auto"/>
        <w:spacing w:after="294" w:line="220" w:lineRule="exact"/>
        <w:jc w:val="both"/>
      </w:pPr>
      <w:r w:rsidRPr="00BA77F4">
        <w:t>ředitel odboru</w:t>
      </w:r>
    </w:p>
    <w:p w:rsidR="002C0DB2" w:rsidRDefault="00CB5641">
      <w:pPr>
        <w:pStyle w:val="Zkladntext20"/>
        <w:framePr w:w="8558" w:h="1155" w:hRule="exact" w:wrap="none" w:vAnchor="page" w:hAnchor="page" w:x="2348" w:y="4614"/>
        <w:shd w:val="clear" w:color="auto" w:fill="auto"/>
        <w:spacing w:line="220" w:lineRule="exact"/>
        <w:jc w:val="both"/>
      </w:pPr>
      <w:r>
        <w:t>podepsáno elektronicky</w:t>
      </w:r>
    </w:p>
    <w:p w:rsidR="002C0DB2" w:rsidRDefault="00CB5641">
      <w:pPr>
        <w:pStyle w:val="Nadpis20"/>
        <w:framePr w:w="8558" w:h="2385" w:hRule="exact" w:wrap="none" w:vAnchor="page" w:hAnchor="page" w:x="2348" w:y="7762"/>
        <w:shd w:val="clear" w:color="auto" w:fill="auto"/>
        <w:spacing w:after="0" w:line="288" w:lineRule="exact"/>
        <w:ind w:left="5" w:right="1248"/>
      </w:pPr>
      <w:bookmarkStart w:id="7" w:name="bookmark7"/>
      <w:r>
        <w:t>Rozdělovník:</w:t>
      </w:r>
      <w:bookmarkEnd w:id="7"/>
    </w:p>
    <w:p w:rsidR="002C0DB2" w:rsidRDefault="00CB5641">
      <w:pPr>
        <w:pStyle w:val="Zkladntext20"/>
        <w:framePr w:w="8558" w:h="2385" w:hRule="exact" w:wrap="none" w:vAnchor="page" w:hAnchor="page" w:x="2348" w:y="7762"/>
        <w:numPr>
          <w:ilvl w:val="0"/>
          <w:numId w:val="2"/>
        </w:numPr>
        <w:shd w:val="clear" w:color="auto" w:fill="auto"/>
        <w:tabs>
          <w:tab w:val="left" w:pos="348"/>
        </w:tabs>
        <w:spacing w:line="288" w:lineRule="exact"/>
        <w:ind w:left="5" w:right="1248"/>
        <w:jc w:val="both"/>
      </w:pPr>
      <w:r>
        <w:rPr>
          <w:rStyle w:val="Zkladntext21"/>
        </w:rPr>
        <w:t>Doručuje se prostřednictvím datové schránky:</w:t>
      </w:r>
    </w:p>
    <w:p w:rsidR="002C0DB2" w:rsidRDefault="00CB5641">
      <w:pPr>
        <w:pStyle w:val="Zkladntext20"/>
        <w:framePr w:w="8558" w:h="2385" w:hRule="exact" w:wrap="none" w:vAnchor="page" w:hAnchor="page" w:x="2348" w:y="7762"/>
        <w:shd w:val="clear" w:color="auto" w:fill="auto"/>
        <w:spacing w:after="240" w:line="288" w:lineRule="exact"/>
        <w:ind w:left="380" w:right="1280"/>
      </w:pPr>
      <w:r>
        <w:t>Správa pražských hřbitovů, příspěvková organizace, Vinohradská</w:t>
      </w:r>
      <w:r>
        <w:br/>
        <w:t xml:space="preserve">130 00 Praha 3, </w:t>
      </w:r>
      <w:proofErr w:type="spellStart"/>
      <w:r>
        <w:t>idds</w:t>
      </w:r>
      <w:proofErr w:type="spellEnd"/>
      <w:r>
        <w:t>: hq4xu5r</w:t>
      </w:r>
    </w:p>
    <w:p w:rsidR="002C0DB2" w:rsidRDefault="00CB5641">
      <w:pPr>
        <w:pStyle w:val="Zkladntext20"/>
        <w:framePr w:w="8558" w:h="2385" w:hRule="exact" w:wrap="none" w:vAnchor="page" w:hAnchor="page" w:x="2348" w:y="7762"/>
        <w:numPr>
          <w:ilvl w:val="0"/>
          <w:numId w:val="2"/>
        </w:numPr>
        <w:shd w:val="clear" w:color="auto" w:fill="auto"/>
        <w:tabs>
          <w:tab w:val="left" w:pos="349"/>
        </w:tabs>
        <w:spacing w:line="288" w:lineRule="exact"/>
        <w:ind w:left="5" w:right="1248"/>
        <w:jc w:val="both"/>
      </w:pPr>
      <w:r>
        <w:rPr>
          <w:rStyle w:val="Zkladntext21"/>
        </w:rPr>
        <w:t>Na vědomí</w:t>
      </w:r>
    </w:p>
    <w:p w:rsidR="002C0DB2" w:rsidRDefault="00CB5641">
      <w:pPr>
        <w:pStyle w:val="Zkladntext20"/>
        <w:framePr w:w="8558" w:h="2385" w:hRule="exact" w:wrap="none" w:vAnchor="page" w:hAnchor="page" w:x="2348" w:y="7762"/>
        <w:shd w:val="clear" w:color="auto" w:fill="auto"/>
        <w:spacing w:line="288" w:lineRule="exact"/>
        <w:ind w:left="380" w:right="6300"/>
      </w:pPr>
      <w:proofErr w:type="spellStart"/>
      <w:r>
        <w:t>OVýs</w:t>
      </w:r>
      <w:proofErr w:type="spellEnd"/>
      <w:r>
        <w:t xml:space="preserve"> ÚMČ Praha 10 NPÚ ÚOP PR</w:t>
      </w:r>
    </w:p>
    <w:p w:rsidR="002C0DB2" w:rsidRDefault="00CB5641">
      <w:pPr>
        <w:pStyle w:val="Zkladntext20"/>
        <w:framePr w:wrap="none" w:vAnchor="page" w:hAnchor="page" w:x="9875" w:y="8400"/>
        <w:shd w:val="clear" w:color="auto" w:fill="auto"/>
        <w:spacing w:line="220" w:lineRule="exact"/>
      </w:pPr>
      <w:r>
        <w:t>2807/153c,</w:t>
      </w:r>
    </w:p>
    <w:p w:rsidR="002C0DB2" w:rsidRDefault="00CB5641">
      <w:pPr>
        <w:pStyle w:val="ZhlavneboZpat0"/>
        <w:framePr w:wrap="none" w:vAnchor="page" w:hAnchor="page" w:x="529" w:y="16185"/>
        <w:shd w:val="clear" w:color="auto" w:fill="auto"/>
        <w:spacing w:line="180" w:lineRule="exact"/>
      </w:pPr>
      <w:r>
        <w:t>4/4</w:t>
      </w:r>
    </w:p>
    <w:p w:rsidR="002C0DB2" w:rsidRDefault="002C0DB2">
      <w:pPr>
        <w:rPr>
          <w:sz w:val="2"/>
          <w:szCs w:val="2"/>
        </w:rPr>
      </w:pPr>
    </w:p>
    <w:sectPr w:rsidR="002C0DB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41" w:rsidRDefault="00CB5641">
      <w:r>
        <w:separator/>
      </w:r>
    </w:p>
  </w:endnote>
  <w:endnote w:type="continuationSeparator" w:id="0">
    <w:p w:rsidR="00CB5641" w:rsidRDefault="00CB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41" w:rsidRDefault="00CB5641"/>
  </w:footnote>
  <w:footnote w:type="continuationSeparator" w:id="0">
    <w:p w:rsidR="00CB5641" w:rsidRDefault="00CB56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5B9C"/>
    <w:multiLevelType w:val="multilevel"/>
    <w:tmpl w:val="867A5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4B0AF4"/>
    <w:multiLevelType w:val="multilevel"/>
    <w:tmpl w:val="B2F02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C0DB2"/>
    <w:rsid w:val="002A5F93"/>
    <w:rsid w:val="002C0DB2"/>
    <w:rsid w:val="00BA77F4"/>
    <w:rsid w:val="00CB5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Calibri13ptTundkovn2pt">
    <w:name w:val="Základní text (2) + Calibri;13 pt;Tučné;Řádkování 2 pt"/>
    <w:basedOn w:val="Zkladntext2"/>
    <w:rPr>
      <w:rFonts w:ascii="Calibri" w:eastAsia="Calibri" w:hAnsi="Calibri" w:cs="Calibri"/>
      <w:b/>
      <w:bCs/>
      <w:i w:val="0"/>
      <w:iCs w:val="0"/>
      <w:smallCaps w:val="0"/>
      <w:strike w:val="0"/>
      <w:color w:val="FFFFFF"/>
      <w:spacing w:val="40"/>
      <w:w w:val="100"/>
      <w:position w:val="0"/>
      <w:sz w:val="26"/>
      <w:szCs w:val="26"/>
      <w:u w:val="none"/>
      <w:lang w:val="cs-CZ" w:eastAsia="cs-CZ" w:bidi="cs-CZ"/>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pacing w:val="-80"/>
      <w:sz w:val="58"/>
      <w:szCs w:val="5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8"/>
      <w:szCs w:val="18"/>
      <w:u w:val="none"/>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8"/>
      <w:szCs w:val="18"/>
      <w:u w:val="none"/>
    </w:rPr>
  </w:style>
  <w:style w:type="character" w:customStyle="1" w:styleId="Zkladntext41">
    <w:name w:val="Základní text (4)"/>
    <w:basedOn w:val="Zkladntext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2"/>
      <w:szCs w:val="12"/>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9"/>
      <w:szCs w:val="9"/>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z w:val="22"/>
      <w:szCs w:val="22"/>
      <w:u w:val="none"/>
    </w:rPr>
  </w:style>
  <w:style w:type="character" w:customStyle="1" w:styleId="Zkladntext7Nekurzva">
    <w:name w:val="Základní text (7) + Ne kurzíva"/>
    <w:basedOn w:val="Zkladntext7"/>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paragraph" w:customStyle="1" w:styleId="Zkladntext20">
    <w:name w:val="Základní text (2)"/>
    <w:basedOn w:val="Normln"/>
    <w:link w:val="Zkladntext2"/>
    <w:pPr>
      <w:shd w:val="clear" w:color="auto" w:fill="FFFFFF"/>
      <w:spacing w:line="322" w:lineRule="exac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line="0" w:lineRule="atLeast"/>
      <w:outlineLvl w:val="0"/>
    </w:pPr>
    <w:rPr>
      <w:rFonts w:ascii="Candara" w:eastAsia="Candara" w:hAnsi="Candara" w:cs="Candara"/>
      <w:spacing w:val="-80"/>
      <w:sz w:val="58"/>
      <w:szCs w:val="58"/>
    </w:rPr>
  </w:style>
  <w:style w:type="paragraph" w:customStyle="1" w:styleId="Zkladntext30">
    <w:name w:val="Základní text (3)"/>
    <w:basedOn w:val="Normln"/>
    <w:link w:val="Zkladntext3"/>
    <w:pPr>
      <w:shd w:val="clear" w:color="auto" w:fill="FFFFFF"/>
      <w:spacing w:line="317" w:lineRule="exact"/>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after="540" w:line="317" w:lineRule="exact"/>
      <w:jc w:val="both"/>
      <w:outlineLvl w:val="1"/>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8"/>
      <w:szCs w:val="18"/>
    </w:rPr>
  </w:style>
  <w:style w:type="paragraph" w:customStyle="1" w:styleId="Zkladntext40">
    <w:name w:val="Základní text (4)"/>
    <w:basedOn w:val="Normln"/>
    <w:link w:val="Zkladntext4"/>
    <w:pPr>
      <w:shd w:val="clear" w:color="auto" w:fill="FFFFFF"/>
      <w:spacing w:line="240" w:lineRule="exact"/>
    </w:pPr>
    <w:rPr>
      <w:rFonts w:ascii="Times New Roman" w:eastAsia="Times New Roman" w:hAnsi="Times New Roman" w:cs="Times New Roman"/>
      <w:sz w:val="18"/>
      <w:szCs w:val="18"/>
    </w:rPr>
  </w:style>
  <w:style w:type="paragraph" w:customStyle="1" w:styleId="Zkladntext50">
    <w:name w:val="Základní text (5)"/>
    <w:basedOn w:val="Normln"/>
    <w:link w:val="Zkladntext5"/>
    <w:pPr>
      <w:shd w:val="clear" w:color="auto" w:fill="FFFFFF"/>
      <w:spacing w:line="178" w:lineRule="exact"/>
    </w:pPr>
    <w:rPr>
      <w:rFonts w:ascii="Times New Roman" w:eastAsia="Times New Roman" w:hAnsi="Times New Roman" w:cs="Times New Roman"/>
      <w:sz w:val="12"/>
      <w:szCs w:val="12"/>
    </w:rPr>
  </w:style>
  <w:style w:type="paragraph" w:customStyle="1" w:styleId="Zkladntext60">
    <w:name w:val="Základní text (6)"/>
    <w:basedOn w:val="Normln"/>
    <w:link w:val="Zkladntext6"/>
    <w:pPr>
      <w:shd w:val="clear" w:color="auto" w:fill="FFFFFF"/>
      <w:spacing w:line="120" w:lineRule="exact"/>
    </w:pPr>
    <w:rPr>
      <w:rFonts w:ascii="Times New Roman" w:eastAsia="Times New Roman" w:hAnsi="Times New Roman" w:cs="Times New Roman"/>
      <w:sz w:val="9"/>
      <w:szCs w:val="9"/>
    </w:rPr>
  </w:style>
  <w:style w:type="paragraph" w:customStyle="1" w:styleId="Zkladntext70">
    <w:name w:val="Základní text (7)"/>
    <w:basedOn w:val="Normln"/>
    <w:link w:val="Zkladntext7"/>
    <w:pPr>
      <w:shd w:val="clear" w:color="auto" w:fill="FFFFFF"/>
      <w:spacing w:before="240" w:after="240" w:line="288" w:lineRule="exact"/>
      <w:jc w:val="both"/>
    </w:pPr>
    <w:rPr>
      <w:rFonts w:ascii="Times New Roman" w:eastAsia="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raha.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7534</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Cmokova</cp:lastModifiedBy>
  <cp:revision>4</cp:revision>
  <dcterms:created xsi:type="dcterms:W3CDTF">2021-07-26T10:38:00Z</dcterms:created>
  <dcterms:modified xsi:type="dcterms:W3CDTF">2021-08-18T11:19:00Z</dcterms:modified>
</cp:coreProperties>
</file>