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2C8" w:rsidRDefault="00F122C8">
      <w:pPr>
        <w:spacing w:line="1" w:lineRule="exact"/>
      </w:pPr>
    </w:p>
    <w:p w:rsidR="00F122C8" w:rsidRDefault="000A5C9E">
      <w:pPr>
        <w:pStyle w:val="Nadpis10"/>
        <w:keepNext/>
        <w:keepLines/>
        <w:shd w:val="clear" w:color="auto" w:fill="auto"/>
        <w:ind w:right="340"/>
      </w:pPr>
      <w:bookmarkStart w:id="0" w:name="bookmark8"/>
      <w:bookmarkStart w:id="1" w:name="bookmark9"/>
      <w:r>
        <w:t>A D V A C A M</w:t>
      </w:r>
      <w:bookmarkEnd w:id="0"/>
      <w:bookmarkEnd w:id="1"/>
    </w:p>
    <w:p w:rsidR="00F122C8" w:rsidRDefault="000A5C9E">
      <w:pPr>
        <w:pStyle w:val="Nadpis20"/>
        <w:keepNext/>
        <w:keepLines/>
        <w:shd w:val="clear" w:color="auto" w:fill="auto"/>
      </w:pPr>
      <w:bookmarkStart w:id="2" w:name="bookmark10"/>
      <w:bookmarkStart w:id="3" w:name="bookmark11"/>
      <w:r>
        <w:t>To: Institute of Experimental and Applied Physics</w:t>
      </w:r>
      <w:bookmarkEnd w:id="2"/>
      <w:bookmarkEnd w:id="3"/>
    </w:p>
    <w:p w:rsidR="00F122C8" w:rsidRDefault="000A5C9E">
      <w:pPr>
        <w:pStyle w:val="Nadpis20"/>
        <w:keepNext/>
        <w:keepLines/>
        <w:shd w:val="clear" w:color="auto" w:fill="auto"/>
        <w:ind w:firstLine="460"/>
      </w:pPr>
      <w:bookmarkStart w:id="4" w:name="bookmark12"/>
      <w:bookmarkStart w:id="5" w:name="bookmark13"/>
      <w:r>
        <w:t>Czech Technical University in Prague</w:t>
      </w:r>
      <w:bookmarkEnd w:id="4"/>
      <w:bookmarkEnd w:id="5"/>
    </w:p>
    <w:p w:rsidR="00F122C8" w:rsidRDefault="000A5C9E">
      <w:pPr>
        <w:pStyle w:val="Zkladntext1"/>
        <w:shd w:val="clear" w:color="auto" w:fill="auto"/>
        <w:spacing w:after="0" w:line="240" w:lineRule="auto"/>
        <w:ind w:left="5780"/>
      </w:pPr>
      <w:r>
        <w:t>Date: 17</w:t>
      </w:r>
      <w:r>
        <w:rPr>
          <w:vertAlign w:val="superscript"/>
        </w:rPr>
        <w:t>th</w:t>
      </w:r>
      <w:r>
        <w:t xml:space="preserve"> of August 2021</w:t>
      </w:r>
    </w:p>
    <w:p w:rsidR="00F122C8" w:rsidRDefault="000A5C9E">
      <w:pPr>
        <w:pStyle w:val="Zkladntext1"/>
        <w:shd w:val="clear" w:color="auto" w:fill="auto"/>
        <w:spacing w:after="560" w:line="240" w:lineRule="auto"/>
        <w:ind w:left="5780"/>
      </w:pPr>
      <w:r>
        <w:t>Quotation number: 21133</w:t>
      </w:r>
    </w:p>
    <w:p w:rsidR="00F122C8" w:rsidRDefault="000A5C9E">
      <w:pPr>
        <w:pStyle w:val="Nadpis20"/>
        <w:keepNext/>
        <w:keepLines/>
        <w:shd w:val="clear" w:color="auto" w:fill="auto"/>
        <w:spacing w:after="240"/>
      </w:pPr>
      <w:bookmarkStart w:id="6" w:name="bookmark18"/>
      <w:bookmarkStart w:id="7" w:name="bookmark19"/>
      <w:r>
        <w:t>Subject: Quotation for 9x MiniPIX EDU 300/500um Si</w:t>
      </w:r>
      <w:bookmarkEnd w:id="6"/>
      <w:bookmarkEnd w:id="7"/>
    </w:p>
    <w:p w:rsidR="00F122C8" w:rsidRDefault="000A5C9E">
      <w:pPr>
        <w:pStyle w:val="Zkladntext1"/>
        <w:shd w:val="clear" w:color="auto" w:fill="auto"/>
        <w:spacing w:after="0" w:line="240" w:lineRule="auto"/>
      </w:pPr>
      <w:r>
        <w:t>We are pleased to present you the quotation on MiniPIX EDU produced and sold only by ADVACAM</w:t>
      </w:r>
    </w:p>
    <w:p w:rsidR="00F122C8" w:rsidRDefault="000A5C9E">
      <w:pPr>
        <w:pStyle w:val="Zkladntext1"/>
        <w:shd w:val="clear" w:color="auto" w:fill="auto"/>
        <w:spacing w:after="740" w:line="240" w:lineRule="auto"/>
      </w:pPr>
      <w:r>
        <w:t>s.r.o.</w:t>
      </w:r>
    </w:p>
    <w:p w:rsidR="00F122C8" w:rsidRDefault="000A5C9E">
      <w:pPr>
        <w:pStyle w:val="Nadpis30"/>
        <w:keepNext/>
        <w:keepLines/>
        <w:shd w:val="clear" w:color="auto" w:fill="auto"/>
        <w:spacing w:after="160" w:line="276" w:lineRule="auto"/>
      </w:pPr>
      <w:bookmarkStart w:id="8" w:name="bookmark20"/>
      <w:bookmarkStart w:id="9" w:name="bookmark21"/>
      <w:r>
        <w:t>9x MiniPIX EDU detector with</w:t>
      </w:r>
      <w:r>
        <w:t xml:space="preserve"> 300/500 pm thick Si sensor</w:t>
      </w:r>
      <w:bookmarkEnd w:id="8"/>
      <w:bookmarkEnd w:id="9"/>
    </w:p>
    <w:p w:rsidR="00F122C8" w:rsidRDefault="000A5C9E">
      <w:pPr>
        <w:pStyle w:val="Zkladntext1"/>
        <w:shd w:val="clear" w:color="auto" w:fill="auto"/>
        <w:spacing w:after="160" w:line="276" w:lineRule="auto"/>
        <w:ind w:firstLine="400"/>
      </w:pPr>
      <w:r>
        <w:t>Description:</w:t>
      </w:r>
    </w:p>
    <w:p w:rsidR="00F122C8" w:rsidRDefault="000A5C9E">
      <w:pPr>
        <w:pStyle w:val="Zkladntext1"/>
        <w:shd w:val="clear" w:color="auto" w:fill="auto"/>
        <w:spacing w:after="0" w:line="276" w:lineRule="auto"/>
        <w:ind w:firstLine="740"/>
      </w:pPr>
      <w:r>
        <w:t>MiniPIX camera with Timepix interface</w:t>
      </w:r>
    </w:p>
    <w:p w:rsidR="00F122C8" w:rsidRDefault="000A5C9E">
      <w:pPr>
        <w:pStyle w:val="Zkladntext1"/>
        <w:shd w:val="clear" w:color="auto" w:fill="auto"/>
        <w:spacing w:after="0" w:line="276" w:lineRule="auto"/>
        <w:ind w:left="740" w:firstLine="20"/>
      </w:pPr>
      <w:r>
        <w:t>Fast USB 2.0 communication with PC. Software and read out electronic included</w:t>
      </w:r>
    </w:p>
    <w:p w:rsidR="00F122C8" w:rsidRDefault="000A5C9E">
      <w:pPr>
        <w:pStyle w:val="Zkladntext1"/>
        <w:shd w:val="clear" w:color="auto" w:fill="auto"/>
        <w:spacing w:after="560" w:line="276" w:lineRule="auto"/>
        <w:ind w:firstLine="740"/>
      </w:pPr>
      <w:r>
        <w:t>Lead time: 6 weeks from order placement</w:t>
      </w:r>
    </w:p>
    <w:p w:rsidR="00F122C8" w:rsidRDefault="000A5C9E">
      <w:pPr>
        <w:pStyle w:val="Titulektabulky0"/>
        <w:shd w:val="clear" w:color="auto" w:fill="auto"/>
        <w:ind w:left="11"/>
        <w:rPr>
          <w:sz w:val="17"/>
          <w:szCs w:val="17"/>
        </w:rPr>
      </w:pPr>
      <w:r>
        <w:rPr>
          <w:rFonts w:ascii="Arial" w:eastAsia="Arial" w:hAnsi="Arial" w:cs="Arial"/>
          <w:b/>
          <w:bCs/>
          <w:sz w:val="17"/>
          <w:szCs w:val="17"/>
        </w:rPr>
        <w:t>Itemized budget of the offer</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9"/>
        <w:gridCol w:w="3935"/>
        <w:gridCol w:w="1084"/>
        <w:gridCol w:w="1649"/>
        <w:gridCol w:w="1429"/>
      </w:tblGrid>
      <w:tr w:rsidR="00F122C8">
        <w:tblPrEx>
          <w:tblCellMar>
            <w:top w:w="0" w:type="dxa"/>
            <w:bottom w:w="0" w:type="dxa"/>
          </w:tblCellMar>
        </w:tblPrEx>
        <w:trPr>
          <w:trHeight w:hRule="exact" w:val="212"/>
          <w:jc w:val="center"/>
        </w:trPr>
        <w:tc>
          <w:tcPr>
            <w:tcW w:w="619" w:type="dxa"/>
            <w:shd w:val="clear" w:color="auto" w:fill="FFFFFF"/>
          </w:tcPr>
          <w:p w:rsidR="00F122C8" w:rsidRDefault="000A5C9E">
            <w:pPr>
              <w:pStyle w:val="Jin0"/>
              <w:shd w:val="clear" w:color="auto" w:fill="auto"/>
              <w:ind w:firstLine="140"/>
            </w:pPr>
            <w:r>
              <w:t>Item</w:t>
            </w:r>
          </w:p>
        </w:tc>
        <w:tc>
          <w:tcPr>
            <w:tcW w:w="3935" w:type="dxa"/>
            <w:shd w:val="clear" w:color="auto" w:fill="FFFFFF"/>
          </w:tcPr>
          <w:p w:rsidR="00F122C8" w:rsidRDefault="000A5C9E">
            <w:pPr>
              <w:pStyle w:val="Jin0"/>
              <w:shd w:val="clear" w:color="auto" w:fill="auto"/>
            </w:pPr>
            <w:r>
              <w:t>Name</w:t>
            </w:r>
          </w:p>
        </w:tc>
        <w:tc>
          <w:tcPr>
            <w:tcW w:w="1084" w:type="dxa"/>
            <w:shd w:val="clear" w:color="auto" w:fill="FFFFFF"/>
          </w:tcPr>
          <w:p w:rsidR="00F122C8" w:rsidRDefault="000A5C9E">
            <w:pPr>
              <w:pStyle w:val="Jin0"/>
              <w:shd w:val="clear" w:color="auto" w:fill="auto"/>
              <w:ind w:firstLine="200"/>
            </w:pPr>
            <w:r>
              <w:t>Units</w:t>
            </w:r>
          </w:p>
        </w:tc>
        <w:tc>
          <w:tcPr>
            <w:tcW w:w="1649" w:type="dxa"/>
            <w:shd w:val="clear" w:color="auto" w:fill="FFFFFF"/>
          </w:tcPr>
          <w:p w:rsidR="00F122C8" w:rsidRDefault="000A5C9E">
            <w:pPr>
              <w:pStyle w:val="Jin0"/>
              <w:shd w:val="clear" w:color="auto" w:fill="auto"/>
              <w:ind w:firstLine="540"/>
              <w:jc w:val="both"/>
            </w:pPr>
            <w:r>
              <w:t>Unit price</w:t>
            </w:r>
          </w:p>
        </w:tc>
        <w:tc>
          <w:tcPr>
            <w:tcW w:w="1429" w:type="dxa"/>
            <w:shd w:val="clear" w:color="auto" w:fill="FFFFFF"/>
          </w:tcPr>
          <w:p w:rsidR="00F122C8" w:rsidRDefault="000A5C9E">
            <w:pPr>
              <w:pStyle w:val="Jin0"/>
              <w:shd w:val="clear" w:color="auto" w:fill="auto"/>
              <w:jc w:val="right"/>
            </w:pPr>
            <w:r>
              <w:t>Price</w:t>
            </w:r>
          </w:p>
        </w:tc>
      </w:tr>
      <w:tr w:rsidR="00F122C8">
        <w:tblPrEx>
          <w:tblCellMar>
            <w:top w:w="0" w:type="dxa"/>
            <w:bottom w:w="0" w:type="dxa"/>
          </w:tblCellMar>
        </w:tblPrEx>
        <w:trPr>
          <w:trHeight w:hRule="exact" w:val="526"/>
          <w:jc w:val="center"/>
        </w:trPr>
        <w:tc>
          <w:tcPr>
            <w:tcW w:w="619" w:type="dxa"/>
            <w:tcBorders>
              <w:top w:val="single" w:sz="4" w:space="0" w:color="auto"/>
            </w:tcBorders>
            <w:shd w:val="clear" w:color="auto" w:fill="FFFFFF"/>
            <w:vAlign w:val="center"/>
          </w:tcPr>
          <w:p w:rsidR="00F122C8" w:rsidRDefault="000A5C9E">
            <w:pPr>
              <w:pStyle w:val="Jin0"/>
              <w:shd w:val="clear" w:color="auto" w:fill="auto"/>
              <w:ind w:firstLine="280"/>
              <w:jc w:val="both"/>
              <w:rPr>
                <w:sz w:val="20"/>
                <w:szCs w:val="20"/>
              </w:rPr>
            </w:pPr>
            <w:r>
              <w:rPr>
                <w:rFonts w:ascii="Calibri" w:eastAsia="Calibri" w:hAnsi="Calibri" w:cs="Calibri"/>
                <w:sz w:val="20"/>
                <w:szCs w:val="20"/>
              </w:rPr>
              <w:t>1</w:t>
            </w:r>
          </w:p>
        </w:tc>
        <w:tc>
          <w:tcPr>
            <w:tcW w:w="3935" w:type="dxa"/>
            <w:tcBorders>
              <w:top w:val="single" w:sz="4" w:space="0" w:color="auto"/>
            </w:tcBorders>
            <w:shd w:val="clear" w:color="auto" w:fill="FFFFFF"/>
            <w:vAlign w:val="bottom"/>
          </w:tcPr>
          <w:p w:rsidR="00F122C8" w:rsidRDefault="000A5C9E">
            <w:pPr>
              <w:pStyle w:val="Jin0"/>
              <w:shd w:val="clear" w:color="auto" w:fill="auto"/>
              <w:rPr>
                <w:sz w:val="20"/>
                <w:szCs w:val="20"/>
              </w:rPr>
            </w:pPr>
            <w:r>
              <w:rPr>
                <w:rFonts w:ascii="Calibri" w:eastAsia="Calibri" w:hAnsi="Calibri" w:cs="Calibri"/>
                <w:sz w:val="20"/>
                <w:szCs w:val="20"/>
              </w:rPr>
              <w:t xml:space="preserve">MiniPIX EDU detector with 300/500 </w:t>
            </w:r>
            <w:r>
              <w:rPr>
                <w:rFonts w:ascii="Calibri" w:eastAsia="Calibri" w:hAnsi="Calibri" w:cs="Calibri"/>
                <w:b/>
                <w:bCs/>
                <w:sz w:val="20"/>
                <w:szCs w:val="20"/>
              </w:rPr>
              <w:t xml:space="preserve">pm Si </w:t>
            </w:r>
            <w:r>
              <w:rPr>
                <w:rFonts w:ascii="Calibri" w:eastAsia="Calibri" w:hAnsi="Calibri" w:cs="Calibri"/>
                <w:sz w:val="20"/>
                <w:szCs w:val="20"/>
              </w:rPr>
              <w:t>sensor. Full calibration data are provided.</w:t>
            </w:r>
          </w:p>
        </w:tc>
        <w:tc>
          <w:tcPr>
            <w:tcW w:w="1084" w:type="dxa"/>
            <w:tcBorders>
              <w:top w:val="single" w:sz="4" w:space="0" w:color="auto"/>
            </w:tcBorders>
            <w:shd w:val="clear" w:color="auto" w:fill="FFFFFF"/>
          </w:tcPr>
          <w:p w:rsidR="00F122C8" w:rsidRDefault="000A5C9E">
            <w:pPr>
              <w:pStyle w:val="Jin0"/>
              <w:shd w:val="clear" w:color="auto" w:fill="auto"/>
              <w:ind w:firstLine="360"/>
              <w:rPr>
                <w:sz w:val="20"/>
                <w:szCs w:val="20"/>
              </w:rPr>
            </w:pPr>
            <w:r>
              <w:rPr>
                <w:rFonts w:ascii="Calibri" w:eastAsia="Calibri" w:hAnsi="Calibri" w:cs="Calibri"/>
                <w:sz w:val="20"/>
                <w:szCs w:val="20"/>
              </w:rPr>
              <w:t>9</w:t>
            </w:r>
          </w:p>
        </w:tc>
        <w:tc>
          <w:tcPr>
            <w:tcW w:w="1649" w:type="dxa"/>
            <w:tcBorders>
              <w:top w:val="single" w:sz="4" w:space="0" w:color="auto"/>
            </w:tcBorders>
            <w:shd w:val="clear" w:color="auto" w:fill="FFFFFF"/>
          </w:tcPr>
          <w:p w:rsidR="00F122C8" w:rsidRDefault="000A5C9E">
            <w:pPr>
              <w:pStyle w:val="Jin0"/>
              <w:shd w:val="clear" w:color="auto" w:fill="auto"/>
              <w:ind w:firstLine="460"/>
              <w:rPr>
                <w:sz w:val="20"/>
                <w:szCs w:val="20"/>
              </w:rPr>
            </w:pPr>
            <w:r>
              <w:rPr>
                <w:rFonts w:ascii="Calibri" w:eastAsia="Calibri" w:hAnsi="Calibri" w:cs="Calibri"/>
                <w:sz w:val="20"/>
                <w:szCs w:val="20"/>
              </w:rPr>
              <w:t>39 200 Kc</w:t>
            </w:r>
          </w:p>
        </w:tc>
        <w:tc>
          <w:tcPr>
            <w:tcW w:w="1429" w:type="dxa"/>
            <w:tcBorders>
              <w:top w:val="single" w:sz="4" w:space="0" w:color="auto"/>
            </w:tcBorders>
            <w:shd w:val="clear" w:color="auto" w:fill="FFFFFF"/>
          </w:tcPr>
          <w:p w:rsidR="00F122C8" w:rsidRDefault="000A5C9E">
            <w:pPr>
              <w:pStyle w:val="Jin0"/>
              <w:shd w:val="clear" w:color="auto" w:fill="auto"/>
              <w:jc w:val="right"/>
              <w:rPr>
                <w:sz w:val="20"/>
                <w:szCs w:val="20"/>
              </w:rPr>
            </w:pPr>
            <w:r>
              <w:rPr>
                <w:rFonts w:ascii="Calibri" w:eastAsia="Calibri" w:hAnsi="Calibri" w:cs="Calibri"/>
                <w:sz w:val="20"/>
                <w:szCs w:val="20"/>
              </w:rPr>
              <w:t>352 800 Kc</w:t>
            </w:r>
          </w:p>
        </w:tc>
      </w:tr>
      <w:tr w:rsidR="00F122C8">
        <w:tblPrEx>
          <w:tblCellMar>
            <w:top w:w="0" w:type="dxa"/>
            <w:bottom w:w="0" w:type="dxa"/>
          </w:tblCellMar>
        </w:tblPrEx>
        <w:trPr>
          <w:trHeight w:hRule="exact" w:val="256"/>
          <w:jc w:val="center"/>
        </w:trPr>
        <w:tc>
          <w:tcPr>
            <w:tcW w:w="619" w:type="dxa"/>
            <w:shd w:val="clear" w:color="auto" w:fill="FFFFFF"/>
            <w:vAlign w:val="bottom"/>
          </w:tcPr>
          <w:p w:rsidR="00F122C8" w:rsidRDefault="000A5C9E">
            <w:pPr>
              <w:pStyle w:val="Jin0"/>
              <w:shd w:val="clear" w:color="auto" w:fill="auto"/>
              <w:ind w:firstLine="280"/>
              <w:jc w:val="both"/>
              <w:rPr>
                <w:sz w:val="20"/>
                <w:szCs w:val="20"/>
              </w:rPr>
            </w:pPr>
            <w:r>
              <w:rPr>
                <w:rFonts w:ascii="Calibri" w:eastAsia="Calibri" w:hAnsi="Calibri" w:cs="Calibri"/>
                <w:sz w:val="20"/>
                <w:szCs w:val="20"/>
              </w:rPr>
              <w:t>2</w:t>
            </w:r>
          </w:p>
        </w:tc>
        <w:tc>
          <w:tcPr>
            <w:tcW w:w="3935" w:type="dxa"/>
            <w:shd w:val="clear" w:color="auto" w:fill="FFFFFF"/>
          </w:tcPr>
          <w:p w:rsidR="00F122C8" w:rsidRDefault="000A5C9E">
            <w:pPr>
              <w:pStyle w:val="Jin0"/>
              <w:shd w:val="clear" w:color="auto" w:fill="auto"/>
              <w:rPr>
                <w:sz w:val="20"/>
                <w:szCs w:val="20"/>
              </w:rPr>
            </w:pPr>
            <w:r>
              <w:rPr>
                <w:rFonts w:ascii="Calibri" w:eastAsia="Calibri" w:hAnsi="Calibri" w:cs="Calibri"/>
                <w:sz w:val="20"/>
                <w:szCs w:val="20"/>
              </w:rPr>
              <w:t>PCB - electronics without detector part</w:t>
            </w:r>
          </w:p>
        </w:tc>
        <w:tc>
          <w:tcPr>
            <w:tcW w:w="1084" w:type="dxa"/>
            <w:shd w:val="clear" w:color="auto" w:fill="FFFFFF"/>
            <w:vAlign w:val="bottom"/>
          </w:tcPr>
          <w:p w:rsidR="00F122C8" w:rsidRDefault="000A5C9E">
            <w:pPr>
              <w:pStyle w:val="Jin0"/>
              <w:shd w:val="clear" w:color="auto" w:fill="auto"/>
              <w:ind w:firstLine="360"/>
              <w:jc w:val="both"/>
              <w:rPr>
                <w:sz w:val="20"/>
                <w:szCs w:val="20"/>
              </w:rPr>
            </w:pPr>
            <w:r>
              <w:rPr>
                <w:rFonts w:ascii="Calibri" w:eastAsia="Calibri" w:hAnsi="Calibri" w:cs="Calibri"/>
                <w:sz w:val="20"/>
                <w:szCs w:val="20"/>
              </w:rPr>
              <w:t>1</w:t>
            </w:r>
          </w:p>
        </w:tc>
        <w:tc>
          <w:tcPr>
            <w:tcW w:w="1649" w:type="dxa"/>
            <w:shd w:val="clear" w:color="auto" w:fill="FFFFFF"/>
          </w:tcPr>
          <w:p w:rsidR="00F122C8" w:rsidRDefault="000A5C9E">
            <w:pPr>
              <w:pStyle w:val="Jin0"/>
              <w:shd w:val="clear" w:color="auto" w:fill="auto"/>
              <w:ind w:firstLine="580"/>
              <w:rPr>
                <w:sz w:val="20"/>
                <w:szCs w:val="20"/>
              </w:rPr>
            </w:pPr>
            <w:r>
              <w:rPr>
                <w:rFonts w:ascii="Calibri" w:eastAsia="Calibri" w:hAnsi="Calibri" w:cs="Calibri"/>
                <w:sz w:val="20"/>
                <w:szCs w:val="20"/>
              </w:rPr>
              <w:t>1 952 Kc</w:t>
            </w:r>
          </w:p>
        </w:tc>
        <w:tc>
          <w:tcPr>
            <w:tcW w:w="1429" w:type="dxa"/>
            <w:shd w:val="clear" w:color="auto" w:fill="FFFFFF"/>
          </w:tcPr>
          <w:p w:rsidR="00F122C8" w:rsidRDefault="000A5C9E">
            <w:pPr>
              <w:pStyle w:val="Jin0"/>
              <w:shd w:val="clear" w:color="auto" w:fill="auto"/>
              <w:jc w:val="right"/>
              <w:rPr>
                <w:sz w:val="20"/>
                <w:szCs w:val="20"/>
              </w:rPr>
            </w:pPr>
            <w:r>
              <w:rPr>
                <w:rFonts w:ascii="Calibri" w:eastAsia="Calibri" w:hAnsi="Calibri" w:cs="Calibri"/>
                <w:sz w:val="20"/>
                <w:szCs w:val="20"/>
              </w:rPr>
              <w:t>1 952 Kc</w:t>
            </w:r>
          </w:p>
        </w:tc>
      </w:tr>
      <w:tr w:rsidR="00F122C8">
        <w:tblPrEx>
          <w:tblCellMar>
            <w:top w:w="0" w:type="dxa"/>
            <w:bottom w:w="0" w:type="dxa"/>
          </w:tblCellMar>
        </w:tblPrEx>
        <w:trPr>
          <w:trHeight w:hRule="exact" w:val="281"/>
          <w:jc w:val="center"/>
        </w:trPr>
        <w:tc>
          <w:tcPr>
            <w:tcW w:w="619" w:type="dxa"/>
            <w:tcBorders>
              <w:top w:val="single" w:sz="4" w:space="0" w:color="auto"/>
              <w:bottom w:val="single" w:sz="4" w:space="0" w:color="auto"/>
            </w:tcBorders>
            <w:shd w:val="clear" w:color="auto" w:fill="FFFFFF"/>
          </w:tcPr>
          <w:p w:rsidR="00F122C8" w:rsidRDefault="00F122C8">
            <w:pPr>
              <w:rPr>
                <w:sz w:val="10"/>
                <w:szCs w:val="10"/>
              </w:rPr>
            </w:pPr>
          </w:p>
        </w:tc>
        <w:tc>
          <w:tcPr>
            <w:tcW w:w="3935" w:type="dxa"/>
            <w:tcBorders>
              <w:top w:val="single" w:sz="4" w:space="0" w:color="auto"/>
              <w:bottom w:val="single" w:sz="4" w:space="0" w:color="auto"/>
            </w:tcBorders>
            <w:shd w:val="clear" w:color="auto" w:fill="FFFFFF"/>
            <w:vAlign w:val="bottom"/>
          </w:tcPr>
          <w:p w:rsidR="00F122C8" w:rsidRDefault="000A5C9E">
            <w:pPr>
              <w:pStyle w:val="Jin0"/>
              <w:shd w:val="clear" w:color="auto" w:fill="auto"/>
              <w:rPr>
                <w:sz w:val="20"/>
                <w:szCs w:val="20"/>
              </w:rPr>
            </w:pPr>
            <w:r>
              <w:rPr>
                <w:rFonts w:ascii="Calibri" w:eastAsia="Calibri" w:hAnsi="Calibri" w:cs="Calibri"/>
                <w:b/>
                <w:bCs/>
                <w:sz w:val="20"/>
                <w:szCs w:val="20"/>
              </w:rPr>
              <w:t>Total price</w:t>
            </w:r>
          </w:p>
        </w:tc>
        <w:tc>
          <w:tcPr>
            <w:tcW w:w="1084" w:type="dxa"/>
            <w:tcBorders>
              <w:top w:val="single" w:sz="4" w:space="0" w:color="auto"/>
              <w:bottom w:val="single" w:sz="4" w:space="0" w:color="auto"/>
            </w:tcBorders>
            <w:shd w:val="clear" w:color="auto" w:fill="FFFFFF"/>
          </w:tcPr>
          <w:p w:rsidR="00F122C8" w:rsidRDefault="00F122C8">
            <w:pPr>
              <w:rPr>
                <w:sz w:val="10"/>
                <w:szCs w:val="10"/>
              </w:rPr>
            </w:pPr>
          </w:p>
        </w:tc>
        <w:tc>
          <w:tcPr>
            <w:tcW w:w="1649" w:type="dxa"/>
            <w:tcBorders>
              <w:top w:val="single" w:sz="4" w:space="0" w:color="auto"/>
              <w:bottom w:val="single" w:sz="4" w:space="0" w:color="auto"/>
            </w:tcBorders>
            <w:shd w:val="clear" w:color="auto" w:fill="FFFFFF"/>
          </w:tcPr>
          <w:p w:rsidR="00F122C8" w:rsidRDefault="00F122C8">
            <w:pPr>
              <w:rPr>
                <w:sz w:val="10"/>
                <w:szCs w:val="10"/>
              </w:rPr>
            </w:pPr>
          </w:p>
        </w:tc>
        <w:tc>
          <w:tcPr>
            <w:tcW w:w="1429" w:type="dxa"/>
            <w:tcBorders>
              <w:top w:val="single" w:sz="4" w:space="0" w:color="auto"/>
              <w:bottom w:val="single" w:sz="4" w:space="0" w:color="auto"/>
            </w:tcBorders>
            <w:shd w:val="clear" w:color="auto" w:fill="FFFFFF"/>
            <w:vAlign w:val="bottom"/>
          </w:tcPr>
          <w:p w:rsidR="00F122C8" w:rsidRDefault="000A5C9E">
            <w:pPr>
              <w:pStyle w:val="Jin0"/>
              <w:shd w:val="clear" w:color="auto" w:fill="auto"/>
              <w:ind w:firstLine="320"/>
              <w:jc w:val="both"/>
              <w:rPr>
                <w:sz w:val="20"/>
                <w:szCs w:val="20"/>
              </w:rPr>
            </w:pPr>
            <w:r>
              <w:rPr>
                <w:rFonts w:ascii="Calibri" w:eastAsia="Calibri" w:hAnsi="Calibri" w:cs="Calibri"/>
                <w:b/>
                <w:bCs/>
                <w:sz w:val="20"/>
                <w:szCs w:val="20"/>
              </w:rPr>
              <w:t>354 752 Kc</w:t>
            </w:r>
          </w:p>
        </w:tc>
      </w:tr>
    </w:tbl>
    <w:p w:rsidR="00F122C8" w:rsidRDefault="000A5C9E">
      <w:pPr>
        <w:pStyle w:val="Titulektabulky0"/>
        <w:shd w:val="clear" w:color="auto" w:fill="auto"/>
        <w:ind w:left="1123"/>
      </w:pPr>
      <w:r>
        <w:t xml:space="preserve">Notes: The price does include VAT or sales tax. </w:t>
      </w:r>
      <w:r>
        <w:t>Price includes 20% discount.</w:t>
      </w:r>
    </w:p>
    <w:p w:rsidR="00F122C8" w:rsidRDefault="00F122C8">
      <w:pPr>
        <w:spacing w:after="279" w:line="1" w:lineRule="exact"/>
      </w:pPr>
    </w:p>
    <w:p w:rsidR="00F122C8" w:rsidRDefault="000A5C9E">
      <w:pPr>
        <w:pStyle w:val="Zkladntext1"/>
        <w:shd w:val="clear" w:color="auto" w:fill="auto"/>
        <w:spacing w:line="288" w:lineRule="auto"/>
      </w:pPr>
      <w:r>
        <w:t xml:space="preserve">others to use for or </w:t>
      </w:r>
      <w:r>
        <w:t>in conjunction with any medical application (except for (1) research (2) development of medical imaging systems (3) medical devices used solely as diagnostic tools), any military devices, any nuclear materials related to defence systems or power systems, o</w:t>
      </w:r>
      <w:r>
        <w:t>r any space application except fundamental research.</w:t>
      </w:r>
    </w:p>
    <w:p w:rsidR="00F122C8" w:rsidRDefault="000A5C9E">
      <w:pPr>
        <w:pStyle w:val="Zkladntext1"/>
        <w:shd w:val="clear" w:color="auto" w:fill="auto"/>
        <w:spacing w:line="288" w:lineRule="auto"/>
      </w:pPr>
      <w:r>
        <w:t>Should you have any questions please do not hesitate to contact us.</w:t>
      </w:r>
    </w:p>
    <w:p w:rsidR="00F122C8" w:rsidRDefault="000A5C9E">
      <w:pPr>
        <w:pStyle w:val="Zkladntext1"/>
        <w:shd w:val="clear" w:color="auto" w:fill="auto"/>
        <w:spacing w:after="440" w:line="288" w:lineRule="auto"/>
      </w:pPr>
      <w:r>
        <w:t>Sincerely,</w:t>
      </w:r>
    </w:p>
    <w:p w:rsidR="00F122C8" w:rsidRDefault="000A5C9E">
      <w:pPr>
        <w:pStyle w:val="Zkladntext1"/>
        <w:shd w:val="clear" w:color="auto" w:fill="auto"/>
        <w:spacing w:after="240" w:line="271" w:lineRule="auto"/>
        <w:ind w:left="4660"/>
        <w:rPr>
          <w:sz w:val="17"/>
          <w:szCs w:val="17"/>
        </w:rPr>
      </w:pPr>
      <w:r>
        <w:t>ADVACAM s.r.o.</w:t>
      </w:r>
      <w:bookmarkStart w:id="10" w:name="_GoBack"/>
      <w:bookmarkEnd w:id="10"/>
    </w:p>
    <w:sectPr w:rsidR="00F122C8">
      <w:headerReference w:type="default" r:id="rId6"/>
      <w:headerReference w:type="first" r:id="rId7"/>
      <w:type w:val="continuous"/>
      <w:pgSz w:w="11900" w:h="16840"/>
      <w:pgMar w:top="1321" w:right="1577" w:bottom="1219" w:left="156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A5C9E">
      <w:r>
        <w:separator/>
      </w:r>
    </w:p>
  </w:endnote>
  <w:endnote w:type="continuationSeparator" w:id="0">
    <w:p w:rsidR="00000000" w:rsidRDefault="000A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2C8" w:rsidRDefault="00F122C8"/>
  </w:footnote>
  <w:footnote w:type="continuationSeparator" w:id="0">
    <w:p w:rsidR="00F122C8" w:rsidRDefault="00F12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2C8" w:rsidRDefault="00F122C8">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2C8" w:rsidRDefault="000A5C9E">
    <w:pPr>
      <w:spacing w:line="1" w:lineRule="exact"/>
    </w:pPr>
    <w:r>
      <w:rPr>
        <w:noProof/>
        <w:lang w:val="cs-CZ" w:eastAsia="cs-CZ" w:bidi="ar-SA"/>
      </w:rPr>
      <mc:AlternateContent>
        <mc:Choice Requires="wps">
          <w:drawing>
            <wp:anchor distT="0" distB="0" distL="0" distR="0" simplePos="0" relativeHeight="62914690" behindDoc="1" locked="0" layoutInCell="1" allowOverlap="1">
              <wp:simplePos x="0" y="0"/>
              <wp:positionH relativeFrom="page">
                <wp:posOffset>6329680</wp:posOffset>
              </wp:positionH>
              <wp:positionV relativeFrom="page">
                <wp:posOffset>749300</wp:posOffset>
              </wp:positionV>
              <wp:extent cx="660400" cy="98425"/>
              <wp:effectExtent l="0" t="0" r="0" b="0"/>
              <wp:wrapNone/>
              <wp:docPr id="35" name="Shape 35"/>
              <wp:cNvGraphicFramePr/>
              <a:graphic xmlns:a="http://schemas.openxmlformats.org/drawingml/2006/main">
                <a:graphicData uri="http://schemas.microsoft.com/office/word/2010/wordprocessingShape">
                  <wps:wsp>
                    <wps:cNvSpPr txBox="1"/>
                    <wps:spPr>
                      <a:xfrm>
                        <a:off x="0" y="0"/>
                        <a:ext cx="660400" cy="98425"/>
                      </a:xfrm>
                      <a:prstGeom prst="rect">
                        <a:avLst/>
                      </a:prstGeom>
                      <a:noFill/>
                    </wps:spPr>
                    <wps:txbx>
                      <w:txbxContent>
                        <w:p w:rsidR="00F122C8" w:rsidRDefault="000A5C9E">
                          <w:pPr>
                            <w:pStyle w:val="Zhlavnebozpat20"/>
                            <w:shd w:val="clear" w:color="auto" w:fill="auto"/>
                            <w:rPr>
                              <w:sz w:val="17"/>
                              <w:szCs w:val="17"/>
                            </w:rPr>
                          </w:pPr>
                          <w:r>
                            <w:rPr>
                              <w:b/>
                              <w:bCs/>
                              <w:sz w:val="17"/>
                              <w:szCs w:val="17"/>
                            </w:rPr>
                            <w:t>Page: 1 of 1</w:t>
                          </w:r>
                        </w:p>
                      </w:txbxContent>
                    </wps:txbx>
                    <wps:bodyPr wrap="none" lIns="0" tIns="0" rIns="0" bIns="0">
                      <a:spAutoFit/>
                    </wps:bodyPr>
                  </wps:wsp>
                </a:graphicData>
              </a:graphic>
            </wp:anchor>
          </w:drawing>
        </mc:Choice>
        <mc:Fallback>
          <w:pict>
            <v:shape id="_x0000_s1061" type="#_x0000_t202" style="position:absolute;margin-left:498.39999999999998pt;margin-top:59.pt;width:52.pt;height:7.75pt;z-index:-188744063;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en-US" w:eastAsia="en-US" w:bidi="en-US"/>
                      </w:rPr>
                      <w:t>Page: 1 of 1</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2C8"/>
    <w:rsid w:val="000A5C9E"/>
    <w:rsid w:val="00F122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7E53C9-C24A-4D78-9591-C9DFCCE1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rovkd">
    <w:name w:val="Čárový kód_"/>
    <w:basedOn w:val="Standardnpsmoodstavce"/>
    <w:link w:val="rovkd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7"/>
      <w:szCs w:val="17"/>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21277A"/>
      <w:sz w:val="12"/>
      <w:szCs w:val="12"/>
      <w:u w:val="none"/>
      <w:lang w:val="cs-CZ" w:eastAsia="cs-CZ" w:bidi="cs-CZ"/>
    </w:rPr>
  </w:style>
  <w:style w:type="character" w:customStyle="1" w:styleId="Nadpis1">
    <w:name w:val="Nadpis #1_"/>
    <w:basedOn w:val="Standardnpsmoodstavce"/>
    <w:link w:val="Nadpis10"/>
    <w:rPr>
      <w:rFonts w:ascii="Verdana" w:eastAsia="Verdana" w:hAnsi="Verdana" w:cs="Verdana"/>
      <w:b w:val="0"/>
      <w:bCs w:val="0"/>
      <w:i w:val="0"/>
      <w:iCs w:val="0"/>
      <w:smallCaps w:val="0"/>
      <w:strike w:val="0"/>
      <w:sz w:val="36"/>
      <w:szCs w:val="36"/>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0"/>
      <w:szCs w:val="20"/>
      <w:u w:val="none"/>
    </w:rPr>
  </w:style>
  <w:style w:type="paragraph" w:customStyle="1" w:styleId="rovkd0">
    <w:name w:val="Čárový kód"/>
    <w:basedOn w:val="Normln"/>
    <w:link w:val="rovkd"/>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pPr>
    <w:rPr>
      <w:rFonts w:ascii="Arial" w:eastAsia="Arial" w:hAnsi="Arial" w:cs="Arial"/>
      <w:sz w:val="17"/>
      <w:szCs w:val="17"/>
    </w:rPr>
  </w:style>
  <w:style w:type="paragraph" w:customStyle="1" w:styleId="Nadpis20">
    <w:name w:val="Nadpis #2"/>
    <w:basedOn w:val="Normln"/>
    <w:link w:val="Nadpis2"/>
    <w:pPr>
      <w:shd w:val="clear" w:color="auto" w:fill="FFFFFF"/>
      <w:outlineLvl w:val="1"/>
    </w:pPr>
    <w:rPr>
      <w:rFonts w:ascii="Calibri" w:eastAsia="Calibri" w:hAnsi="Calibri" w:cs="Calibri"/>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line="283" w:lineRule="auto"/>
      <w:outlineLvl w:val="2"/>
    </w:pPr>
    <w:rPr>
      <w:rFonts w:ascii="Calibri" w:eastAsia="Calibri" w:hAnsi="Calibri" w:cs="Calibri"/>
      <w:b/>
      <w:bCs/>
      <w:sz w:val="20"/>
      <w:szCs w:val="20"/>
    </w:rPr>
  </w:style>
  <w:style w:type="paragraph" w:customStyle="1" w:styleId="Titulekobrzku0">
    <w:name w:val="Titulek obrázku"/>
    <w:basedOn w:val="Normln"/>
    <w:link w:val="Titulekobrzku"/>
    <w:pPr>
      <w:shd w:val="clear" w:color="auto" w:fill="FFFFFF"/>
    </w:pPr>
    <w:rPr>
      <w:rFonts w:ascii="Arial" w:eastAsia="Arial" w:hAnsi="Arial" w:cs="Arial"/>
      <w:color w:val="21277A"/>
      <w:sz w:val="12"/>
      <w:szCs w:val="12"/>
      <w:lang w:val="cs-CZ" w:eastAsia="cs-CZ" w:bidi="cs-CZ"/>
    </w:rPr>
  </w:style>
  <w:style w:type="paragraph" w:customStyle="1" w:styleId="Nadpis10">
    <w:name w:val="Nadpis #1"/>
    <w:basedOn w:val="Normln"/>
    <w:link w:val="Nadpis1"/>
    <w:pPr>
      <w:shd w:val="clear" w:color="auto" w:fill="FFFFFF"/>
      <w:ind w:right="320"/>
      <w:jc w:val="right"/>
      <w:outlineLvl w:val="0"/>
    </w:pPr>
    <w:rPr>
      <w:rFonts w:ascii="Verdana" w:eastAsia="Verdana" w:hAnsi="Verdana" w:cs="Verdana"/>
      <w:sz w:val="36"/>
      <w:szCs w:val="36"/>
    </w:rPr>
  </w:style>
  <w:style w:type="paragraph" w:customStyle="1" w:styleId="Zkladntext1">
    <w:name w:val="Základní text1"/>
    <w:basedOn w:val="Normln"/>
    <w:link w:val="Zkladntext"/>
    <w:pPr>
      <w:shd w:val="clear" w:color="auto" w:fill="FFFFFF"/>
      <w:spacing w:after="200" w:line="278" w:lineRule="auto"/>
    </w:pPr>
    <w:rPr>
      <w:rFonts w:ascii="Calibri" w:eastAsia="Calibri" w:hAnsi="Calibri" w:cs="Calibri"/>
      <w:sz w:val="20"/>
      <w:szCs w:val="20"/>
    </w:rPr>
  </w:style>
  <w:style w:type="paragraph" w:customStyle="1" w:styleId="Titulektabulky0">
    <w:name w:val="Titulek tabulky"/>
    <w:basedOn w:val="Normln"/>
    <w:link w:val="Titulektabulky"/>
    <w:pPr>
      <w:shd w:val="clear" w:color="auto" w:fill="FFFFFF"/>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1106</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2</cp:revision>
  <dcterms:created xsi:type="dcterms:W3CDTF">2021-08-18T10:15:00Z</dcterms:created>
  <dcterms:modified xsi:type="dcterms:W3CDTF">2021-08-18T10:15:00Z</dcterms:modified>
</cp:coreProperties>
</file>