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D3C9" w14:textId="77777777" w:rsidR="00424FD8" w:rsidRDefault="00424FD8">
      <w:pPr>
        <w:pStyle w:val="Nadpis1"/>
        <w:jc w:val="center"/>
        <w:rPr>
          <w:lang w:val="sq-AL"/>
        </w:rPr>
      </w:pPr>
      <w:r>
        <w:rPr>
          <w:lang w:val="sq-AL"/>
        </w:rPr>
        <w:t>Smlouva o dílo</w:t>
      </w:r>
    </w:p>
    <w:p w14:paraId="135EC061" w14:textId="77777777" w:rsidR="00424FD8" w:rsidRDefault="00424FD8">
      <w:pPr>
        <w:pStyle w:val="Nadpis2"/>
        <w:jc w:val="center"/>
        <w:rPr>
          <w:lang w:val="sq-AL"/>
        </w:rPr>
      </w:pPr>
      <w:r>
        <w:rPr>
          <w:lang w:val="sq-AL"/>
        </w:rPr>
        <w:t>I. Smluvní strany</w:t>
      </w:r>
    </w:p>
    <w:p w14:paraId="35071478" w14:textId="77777777" w:rsidR="00424FD8" w:rsidRDefault="00424FD8">
      <w:pPr>
        <w:rPr>
          <w:lang w:val="sq-AL"/>
        </w:rPr>
      </w:pPr>
    </w:p>
    <w:p w14:paraId="6BA90127" w14:textId="77777777" w:rsidR="00424FD8" w:rsidRDefault="00424FD8">
      <w:pPr>
        <w:rPr>
          <w:b/>
          <w:bCs/>
          <w:lang w:val="sq-AL"/>
        </w:rPr>
      </w:pPr>
      <w:r>
        <w:rPr>
          <w:b/>
          <w:bCs/>
          <w:lang w:val="sq-AL"/>
        </w:rPr>
        <w:t>Objednatel:</w:t>
      </w:r>
      <w:r>
        <w:rPr>
          <w:lang w:val="sq-AL"/>
        </w:rPr>
        <w:tab/>
      </w:r>
      <w:r>
        <w:rPr>
          <w:b/>
          <w:bCs/>
          <w:lang w:val="sq-AL"/>
        </w:rPr>
        <w:t>Technické služby města Pelhřimova</w:t>
      </w:r>
    </w:p>
    <w:p w14:paraId="4D9E32E6" w14:textId="77777777" w:rsidR="00424FD8" w:rsidRDefault="00424FD8">
      <w:pPr>
        <w:ind w:left="708" w:firstLine="708"/>
        <w:rPr>
          <w:b/>
          <w:bCs/>
          <w:lang w:val="sq-AL"/>
        </w:rPr>
      </w:pPr>
      <w:r>
        <w:rPr>
          <w:b/>
          <w:bCs/>
          <w:lang w:val="sq-AL"/>
        </w:rPr>
        <w:t>příspěvková organizace</w:t>
      </w:r>
    </w:p>
    <w:p w14:paraId="4913739A" w14:textId="77777777" w:rsidR="00424FD8" w:rsidRDefault="00424FD8">
      <w:pPr>
        <w:ind w:left="708" w:firstLine="708"/>
        <w:rPr>
          <w:lang w:val="sq-AL"/>
        </w:rPr>
      </w:pPr>
      <w:r>
        <w:rPr>
          <w:lang w:val="sq-AL"/>
        </w:rPr>
        <w:t>Myslotínská 1740</w:t>
      </w:r>
    </w:p>
    <w:p w14:paraId="0A46B0D1" w14:textId="77777777" w:rsidR="00424FD8" w:rsidRDefault="00424FD8">
      <w:pPr>
        <w:ind w:left="708" w:firstLine="708"/>
        <w:rPr>
          <w:lang w:val="sq-AL"/>
        </w:rPr>
      </w:pPr>
      <w:r>
        <w:rPr>
          <w:lang w:val="sq-AL"/>
        </w:rPr>
        <w:t>393 88 Pelhřimov</w:t>
      </w:r>
    </w:p>
    <w:p w14:paraId="54F9FB8B" w14:textId="77777777" w:rsidR="00424FD8" w:rsidRDefault="00424FD8">
      <w:pPr>
        <w:ind w:left="708" w:firstLine="708"/>
        <w:rPr>
          <w:lang w:val="sq-AL"/>
        </w:rPr>
      </w:pPr>
      <w:r>
        <w:rPr>
          <w:lang w:val="sq-AL"/>
        </w:rPr>
        <w:t>Zastoupen ing. Pavlou Licehammerovou, ředitelkou</w:t>
      </w:r>
    </w:p>
    <w:p w14:paraId="1533F77D" w14:textId="77777777" w:rsidR="00424FD8" w:rsidRDefault="00424FD8">
      <w:pPr>
        <w:ind w:left="708" w:firstLine="708"/>
        <w:rPr>
          <w:lang w:val="sq-AL"/>
        </w:rPr>
      </w:pPr>
      <w:r>
        <w:rPr>
          <w:lang w:val="sq-AL"/>
        </w:rPr>
        <w:t>IČ: 490 56</w:t>
      </w:r>
      <w:r w:rsidR="00E35619">
        <w:rPr>
          <w:lang w:val="sq-AL"/>
        </w:rPr>
        <w:t> </w:t>
      </w:r>
      <w:r>
        <w:rPr>
          <w:lang w:val="sq-AL"/>
        </w:rPr>
        <w:t>689</w:t>
      </w:r>
      <w:r w:rsidR="00E35619">
        <w:rPr>
          <w:lang w:val="sq-AL"/>
        </w:rPr>
        <w:tab/>
      </w:r>
      <w:r w:rsidR="00E35619">
        <w:rPr>
          <w:lang w:val="sq-AL"/>
        </w:rPr>
        <w:tab/>
        <w:t>D</w:t>
      </w:r>
      <w:r>
        <w:rPr>
          <w:lang w:val="sq-AL"/>
        </w:rPr>
        <w:t>IČ: CZ49056689</w:t>
      </w:r>
    </w:p>
    <w:p w14:paraId="05AA30C8" w14:textId="77777777" w:rsidR="00424FD8" w:rsidRDefault="00424FD8">
      <w:pPr>
        <w:ind w:left="708" w:firstLine="708"/>
        <w:rPr>
          <w:sz w:val="20"/>
          <w:szCs w:val="20"/>
        </w:rPr>
      </w:pPr>
      <w:r>
        <w:rPr>
          <w:lang w:val="sq-AL"/>
        </w:rPr>
        <w:t xml:space="preserve">Bankovní spojení: KB Pelhřimov, </w:t>
      </w:r>
      <w:r>
        <w:rPr>
          <w:szCs w:val="20"/>
        </w:rPr>
        <w:t>23938-261/0100</w:t>
      </w:r>
      <w:r>
        <w:rPr>
          <w:sz w:val="20"/>
          <w:szCs w:val="20"/>
        </w:rPr>
        <w:t xml:space="preserve">       </w:t>
      </w:r>
    </w:p>
    <w:p w14:paraId="6D1E2F3C" w14:textId="77777777" w:rsidR="00424FD8" w:rsidRDefault="00424FD8">
      <w:pPr>
        <w:ind w:left="1416"/>
        <w:rPr>
          <w:szCs w:val="20"/>
        </w:rPr>
      </w:pPr>
      <w:r>
        <w:rPr>
          <w:szCs w:val="20"/>
        </w:rPr>
        <w:t>Zápis v Obchodním rejstříku vedeném Krajským soudem v Českých Budějovicích , oddíl Pr, vložka č.1</w:t>
      </w:r>
    </w:p>
    <w:p w14:paraId="3A07150C" w14:textId="77777777" w:rsidR="0039260C" w:rsidRDefault="0039260C">
      <w:pPr>
        <w:ind w:left="1416"/>
        <w:rPr>
          <w:szCs w:val="20"/>
        </w:rPr>
      </w:pPr>
      <w:r>
        <w:rPr>
          <w:szCs w:val="20"/>
        </w:rPr>
        <w:t>Ve věcech technických zastupují objednatele</w:t>
      </w:r>
    </w:p>
    <w:p w14:paraId="3CBF37C4" w14:textId="03DCE438" w:rsidR="0039260C" w:rsidRDefault="0039260C">
      <w:pPr>
        <w:ind w:left="1416"/>
        <w:rPr>
          <w:szCs w:val="20"/>
        </w:rPr>
      </w:pPr>
      <w:r>
        <w:rPr>
          <w:szCs w:val="20"/>
        </w:rPr>
        <w:t xml:space="preserve">     </w:t>
      </w:r>
      <w:r w:rsidR="00447E89">
        <w:rPr>
          <w:szCs w:val="20"/>
        </w:rPr>
        <w:t>XXX</w:t>
      </w:r>
      <w:r w:rsidR="00DE5D99">
        <w:rPr>
          <w:szCs w:val="20"/>
        </w:rPr>
        <w:t xml:space="preserve"> – vedoucí sportovního areálu</w:t>
      </w:r>
    </w:p>
    <w:p w14:paraId="0ECB1BD8" w14:textId="77777777" w:rsidR="00424FD8" w:rsidRDefault="00424FD8">
      <w:pPr>
        <w:rPr>
          <w:b/>
          <w:bCs/>
          <w:szCs w:val="20"/>
        </w:rPr>
      </w:pPr>
    </w:p>
    <w:p w14:paraId="20F7E571" w14:textId="77777777" w:rsidR="00424FD8" w:rsidRDefault="00424FD8">
      <w:pPr>
        <w:rPr>
          <w:b/>
          <w:bCs/>
          <w:szCs w:val="20"/>
        </w:rPr>
      </w:pPr>
    </w:p>
    <w:p w14:paraId="6129EDD3" w14:textId="3EC89835" w:rsidR="001C6F37" w:rsidRDefault="00424FD8" w:rsidP="001C6F37">
      <w:pPr>
        <w:rPr>
          <w:b/>
          <w:bCs/>
          <w:szCs w:val="20"/>
        </w:rPr>
      </w:pPr>
      <w:r>
        <w:rPr>
          <w:b/>
          <w:bCs/>
          <w:szCs w:val="20"/>
        </w:rPr>
        <w:t>Zhotovitel:</w:t>
      </w:r>
      <w:r>
        <w:rPr>
          <w:b/>
          <w:bCs/>
          <w:szCs w:val="20"/>
        </w:rPr>
        <w:tab/>
      </w:r>
      <w:r w:rsidR="00DE5D99">
        <w:rPr>
          <w:b/>
          <w:bCs/>
          <w:szCs w:val="20"/>
        </w:rPr>
        <w:t>EUROGREEN CZ s.r.o.</w:t>
      </w:r>
    </w:p>
    <w:p w14:paraId="2095A653" w14:textId="6805C778" w:rsidR="003C426A" w:rsidRDefault="003C426A" w:rsidP="001C6F37">
      <w:pPr>
        <w:rPr>
          <w:bCs/>
          <w:szCs w:val="20"/>
        </w:rPr>
      </w:pPr>
      <w:r>
        <w:rPr>
          <w:b/>
          <w:bCs/>
          <w:szCs w:val="20"/>
        </w:rPr>
        <w:tab/>
      </w:r>
      <w:r>
        <w:rPr>
          <w:b/>
          <w:bCs/>
          <w:szCs w:val="20"/>
        </w:rPr>
        <w:tab/>
      </w:r>
      <w:r w:rsidR="00DE5D99">
        <w:rPr>
          <w:bCs/>
          <w:szCs w:val="20"/>
        </w:rPr>
        <w:t>Náměstí Jiřího 2</w:t>
      </w:r>
    </w:p>
    <w:p w14:paraId="281A7C7F" w14:textId="088C5BC4" w:rsidR="003C426A" w:rsidRDefault="003C426A" w:rsidP="001C6F37">
      <w:pPr>
        <w:rPr>
          <w:bCs/>
          <w:szCs w:val="20"/>
        </w:rPr>
      </w:pPr>
      <w:r>
        <w:rPr>
          <w:bCs/>
          <w:szCs w:val="20"/>
        </w:rPr>
        <w:tab/>
      </w:r>
      <w:r>
        <w:rPr>
          <w:bCs/>
          <w:szCs w:val="20"/>
        </w:rPr>
        <w:tab/>
      </w:r>
      <w:r w:rsidR="00DE5D99">
        <w:rPr>
          <w:bCs/>
          <w:szCs w:val="20"/>
        </w:rPr>
        <w:t>407 58 Jiřetín pod Jedlovou</w:t>
      </w:r>
    </w:p>
    <w:p w14:paraId="1B26CC69" w14:textId="187BF0C6" w:rsidR="003C426A" w:rsidRDefault="003C426A" w:rsidP="001C6F37">
      <w:pPr>
        <w:rPr>
          <w:bCs/>
          <w:szCs w:val="20"/>
        </w:rPr>
      </w:pPr>
      <w:r>
        <w:rPr>
          <w:bCs/>
          <w:szCs w:val="20"/>
        </w:rPr>
        <w:tab/>
      </w:r>
      <w:r>
        <w:rPr>
          <w:bCs/>
          <w:szCs w:val="20"/>
        </w:rPr>
        <w:tab/>
        <w:t xml:space="preserve">Zastoupený </w:t>
      </w:r>
      <w:r w:rsidR="00DE5D99">
        <w:rPr>
          <w:bCs/>
          <w:szCs w:val="20"/>
        </w:rPr>
        <w:t>ing. Tomášem Štěpařem, jednatelem</w:t>
      </w:r>
    </w:p>
    <w:p w14:paraId="3A7C9B6E" w14:textId="37D1D63C" w:rsidR="003C426A" w:rsidRPr="003C426A" w:rsidRDefault="003C426A" w:rsidP="001C6F37">
      <w:pPr>
        <w:rPr>
          <w:bCs/>
          <w:szCs w:val="20"/>
        </w:rPr>
      </w:pPr>
      <w:r>
        <w:rPr>
          <w:bCs/>
          <w:szCs w:val="20"/>
        </w:rPr>
        <w:tab/>
      </w:r>
      <w:r>
        <w:rPr>
          <w:bCs/>
          <w:szCs w:val="20"/>
        </w:rPr>
        <w:tab/>
        <w:t xml:space="preserve">IČ: </w:t>
      </w:r>
      <w:r w:rsidR="00DE5D99">
        <w:rPr>
          <w:bCs/>
          <w:szCs w:val="20"/>
        </w:rPr>
        <w:t>646 51 959</w:t>
      </w:r>
      <w:r>
        <w:rPr>
          <w:bCs/>
          <w:szCs w:val="20"/>
        </w:rPr>
        <w:tab/>
      </w:r>
      <w:r>
        <w:rPr>
          <w:bCs/>
          <w:szCs w:val="20"/>
        </w:rPr>
        <w:tab/>
        <w:t>DIČ: CZ</w:t>
      </w:r>
      <w:r w:rsidR="00DE5D99">
        <w:rPr>
          <w:bCs/>
          <w:szCs w:val="20"/>
        </w:rPr>
        <w:t>64651959</w:t>
      </w:r>
    </w:p>
    <w:p w14:paraId="5963A925" w14:textId="68561510" w:rsidR="001C6F37" w:rsidRPr="003C426A" w:rsidRDefault="003C426A" w:rsidP="001C6F37">
      <w:pPr>
        <w:rPr>
          <w:bCs/>
          <w:szCs w:val="20"/>
        </w:rPr>
      </w:pPr>
      <w:r w:rsidRPr="003C426A">
        <w:rPr>
          <w:bCs/>
          <w:szCs w:val="20"/>
        </w:rPr>
        <w:tab/>
      </w:r>
      <w:r w:rsidRPr="003C426A">
        <w:rPr>
          <w:bCs/>
          <w:szCs w:val="20"/>
        </w:rPr>
        <w:tab/>
        <w:t xml:space="preserve">Bankovní spojení: </w:t>
      </w:r>
      <w:r w:rsidR="00DE5D99">
        <w:rPr>
          <w:bCs/>
          <w:szCs w:val="20"/>
        </w:rPr>
        <w:t>KB a.s.</w:t>
      </w:r>
      <w:r w:rsidRPr="003C426A">
        <w:rPr>
          <w:bCs/>
          <w:szCs w:val="20"/>
        </w:rPr>
        <w:t xml:space="preserve">, </w:t>
      </w:r>
      <w:r w:rsidR="00DE5D99">
        <w:rPr>
          <w:bCs/>
          <w:szCs w:val="20"/>
        </w:rPr>
        <w:t>č.ú. 4039930297/0100</w:t>
      </w:r>
    </w:p>
    <w:p w14:paraId="5F5CD6A4" w14:textId="2368B0D6" w:rsidR="003C426A" w:rsidRPr="003C426A" w:rsidRDefault="003C426A" w:rsidP="001C6F37">
      <w:pPr>
        <w:rPr>
          <w:bCs/>
          <w:szCs w:val="20"/>
        </w:rPr>
      </w:pPr>
      <w:r w:rsidRPr="003C426A">
        <w:rPr>
          <w:bCs/>
          <w:szCs w:val="20"/>
        </w:rPr>
        <w:tab/>
      </w:r>
      <w:r w:rsidRPr="003C426A">
        <w:rPr>
          <w:bCs/>
          <w:szCs w:val="20"/>
        </w:rPr>
        <w:tab/>
        <w:t xml:space="preserve">Ve věcech technických : </w:t>
      </w:r>
      <w:r w:rsidR="00447E89">
        <w:rPr>
          <w:bCs/>
          <w:szCs w:val="20"/>
        </w:rPr>
        <w:t>xxx</w:t>
      </w:r>
    </w:p>
    <w:p w14:paraId="07A3487E" w14:textId="77777777" w:rsidR="0039260C" w:rsidRDefault="0039260C" w:rsidP="001C6F37">
      <w:pPr>
        <w:rPr>
          <w:b/>
          <w:bCs/>
          <w:szCs w:val="20"/>
        </w:rPr>
      </w:pPr>
    </w:p>
    <w:p w14:paraId="1E20C75E" w14:textId="77777777" w:rsidR="00424FD8" w:rsidRDefault="00424FD8">
      <w:pPr>
        <w:pStyle w:val="Nadpis2"/>
        <w:jc w:val="center"/>
      </w:pPr>
      <w:r>
        <w:t>II. Předmět smlouvy</w:t>
      </w:r>
    </w:p>
    <w:p w14:paraId="6A8D2076" w14:textId="2E43457F" w:rsidR="001C6F37" w:rsidRDefault="00424FD8" w:rsidP="00FA2B7D">
      <w:pPr>
        <w:ind w:right="1"/>
        <w:jc w:val="both"/>
      </w:pPr>
      <w:r>
        <w:t xml:space="preserve">Zhotovitel se zavazuje na svůj náklad a nebezpečí a za podmínek stanovených touto smlouvou provést sjednané dílo </w:t>
      </w:r>
      <w:r>
        <w:rPr>
          <w:b/>
          <w:bCs/>
          <w:i/>
          <w:iCs/>
        </w:rPr>
        <w:t>„</w:t>
      </w:r>
      <w:r w:rsidR="00DE5D99">
        <w:rPr>
          <w:b/>
          <w:bCs/>
          <w:iCs/>
        </w:rPr>
        <w:t>Ú</w:t>
      </w:r>
      <w:r w:rsidR="001C6F37" w:rsidRPr="00950519">
        <w:rPr>
          <w:b/>
          <w:bCs/>
        </w:rPr>
        <w:t>držb</w:t>
      </w:r>
      <w:r w:rsidR="008A41F5" w:rsidRPr="00950519">
        <w:rPr>
          <w:b/>
          <w:bCs/>
        </w:rPr>
        <w:t>a</w:t>
      </w:r>
      <w:r w:rsidR="00F876B8">
        <w:rPr>
          <w:b/>
          <w:bCs/>
        </w:rPr>
        <w:t xml:space="preserve"> nových</w:t>
      </w:r>
      <w:r w:rsidR="001C6F37" w:rsidRPr="00950519">
        <w:rPr>
          <w:b/>
          <w:bCs/>
        </w:rPr>
        <w:t xml:space="preserve"> sportovních trávníků v Pelhřimově </w:t>
      </w:r>
      <w:r w:rsidR="00DE5D99">
        <w:rPr>
          <w:b/>
          <w:bCs/>
        </w:rPr>
        <w:t>do konce roku 2021</w:t>
      </w:r>
      <w:r w:rsidRPr="00950519">
        <w:rPr>
          <w:b/>
        </w:rPr>
        <w:t>“</w:t>
      </w:r>
      <w:r>
        <w:t xml:space="preserve"> dle cenového </w:t>
      </w:r>
      <w:r w:rsidR="00DE5D99">
        <w:t>nabídky z</w:t>
      </w:r>
      <w:r w:rsidR="00F876B8">
        <w:t> 26.7.2021</w:t>
      </w:r>
      <w:r>
        <w:t>, který je nedílnou součástí této smlouvy a objednatel se zavazuje za řádně provedené a předané dílo zaplatit zhotoviteli cenu ve výši a v termínech sjednaných touto smlouvou.</w:t>
      </w:r>
    </w:p>
    <w:p w14:paraId="43233B5D" w14:textId="77777777" w:rsidR="00421A92" w:rsidRDefault="00421A92" w:rsidP="00FA2B7D">
      <w:pPr>
        <w:ind w:right="1"/>
        <w:jc w:val="both"/>
      </w:pPr>
      <w:r>
        <w:t>Přesné termíny údržby budou upřesněny objednatelem neprodleně po obdržení rozpisu zápasů.</w:t>
      </w:r>
    </w:p>
    <w:p w14:paraId="39A93939" w14:textId="77777777" w:rsidR="00424FD8" w:rsidRDefault="001C6F37" w:rsidP="00FA2B7D">
      <w:pPr>
        <w:ind w:right="1"/>
        <w:jc w:val="both"/>
      </w:pPr>
      <w:r>
        <w:t>Ke všem prac</w:t>
      </w:r>
      <w:r w:rsidR="00421A92">
        <w:t>í</w:t>
      </w:r>
      <w:r>
        <w:t>m, které bude objednatel provádět vlastními prostředky, poskytne zhotovitel bezplatný poradenský servis.</w:t>
      </w:r>
      <w:r w:rsidR="00424FD8">
        <w:t xml:space="preserve"> </w:t>
      </w:r>
    </w:p>
    <w:p w14:paraId="2C0522C4" w14:textId="77777777" w:rsidR="00424FD8" w:rsidRDefault="00424FD8" w:rsidP="00950519">
      <w:pPr>
        <w:ind w:right="-192"/>
      </w:pPr>
    </w:p>
    <w:p w14:paraId="5C13719F" w14:textId="77777777" w:rsidR="00424FD8" w:rsidRDefault="00424FD8" w:rsidP="00950519">
      <w:pPr>
        <w:pStyle w:val="Nadpis2"/>
        <w:ind w:right="-192"/>
        <w:jc w:val="center"/>
      </w:pPr>
      <w:r>
        <w:t>III. Cena a platební podmínky</w:t>
      </w:r>
    </w:p>
    <w:p w14:paraId="70FAD858" w14:textId="410C88DD" w:rsidR="00424FD8" w:rsidRDefault="001C6F37" w:rsidP="00FA2B7D">
      <w:pPr>
        <w:ind w:right="1"/>
        <w:jc w:val="both"/>
      </w:pPr>
      <w:r>
        <w:t xml:space="preserve">Celková cena za provedení prací a služeb dle </w:t>
      </w:r>
      <w:r w:rsidR="00046418">
        <w:t>článku II</w:t>
      </w:r>
      <w:r>
        <w:t xml:space="preserve">. </w:t>
      </w:r>
      <w:r w:rsidR="007C0F4D">
        <w:t>t</w:t>
      </w:r>
      <w:r>
        <w:t xml:space="preserve">éto smlouvy je stanovena </w:t>
      </w:r>
      <w:r w:rsidR="00421A92">
        <w:t xml:space="preserve">dle cenového </w:t>
      </w:r>
      <w:r w:rsidR="00F876B8">
        <w:t>nabídky a je maximálně možná</w:t>
      </w:r>
      <w:r w:rsidR="00421A92">
        <w:t xml:space="preserve">. </w:t>
      </w:r>
    </w:p>
    <w:p w14:paraId="18EB59C2" w14:textId="77777777" w:rsidR="00016533" w:rsidRDefault="00016533" w:rsidP="00FA2B7D">
      <w:pPr>
        <w:ind w:right="1"/>
        <w:jc w:val="both"/>
      </w:pPr>
    </w:p>
    <w:p w14:paraId="6CC54B15" w14:textId="17DF284B" w:rsidR="00F876B8" w:rsidRDefault="00F876B8" w:rsidP="00FA2B7D">
      <w:pPr>
        <w:ind w:right="1"/>
        <w:jc w:val="both"/>
        <w:rPr>
          <w:b/>
          <w:bCs/>
        </w:rPr>
      </w:pPr>
      <w:r w:rsidRPr="00F876B8">
        <w:rPr>
          <w:b/>
          <w:bCs/>
        </w:rPr>
        <w:tab/>
        <w:t xml:space="preserve">Celková maximální cena : </w:t>
      </w:r>
      <w:r w:rsidR="00016533">
        <w:rPr>
          <w:b/>
          <w:bCs/>
        </w:rPr>
        <w:t>340</w:t>
      </w:r>
      <w:r w:rsidRPr="00F876B8">
        <w:rPr>
          <w:b/>
          <w:bCs/>
        </w:rPr>
        <w:t>.312,71 Kč bez DPH</w:t>
      </w:r>
    </w:p>
    <w:p w14:paraId="67197D4A" w14:textId="77777777" w:rsidR="00016533" w:rsidRPr="00F876B8" w:rsidRDefault="00016533" w:rsidP="00FA2B7D">
      <w:pPr>
        <w:ind w:right="1"/>
        <w:jc w:val="both"/>
        <w:rPr>
          <w:b/>
          <w:bCs/>
        </w:rPr>
      </w:pPr>
    </w:p>
    <w:p w14:paraId="624AA446" w14:textId="5DCF5895" w:rsidR="00424FD8" w:rsidRDefault="00424FD8" w:rsidP="00FA2B7D">
      <w:pPr>
        <w:ind w:right="1"/>
        <w:jc w:val="both"/>
      </w:pPr>
      <w:r>
        <w:t xml:space="preserve">Po předání a převzetí </w:t>
      </w:r>
      <w:r w:rsidR="008A41F5">
        <w:t xml:space="preserve">jednotlivých </w:t>
      </w:r>
      <w:r w:rsidR="00016533">
        <w:t xml:space="preserve">dílčích </w:t>
      </w:r>
      <w:r w:rsidR="008A41F5">
        <w:t xml:space="preserve">úkonů </w:t>
      </w:r>
      <w:r>
        <w:t xml:space="preserve">bez vad a nedodělků díla bude do 7 dnů vystavena </w:t>
      </w:r>
      <w:r w:rsidR="00016533">
        <w:t>dílčí</w:t>
      </w:r>
      <w:r>
        <w:t xml:space="preserve"> faktura se splatností </w:t>
      </w:r>
      <w:r w:rsidR="00016533">
        <w:t>21</w:t>
      </w:r>
      <w:r>
        <w:t xml:space="preserve"> dnů. Na dílo nebude poskytována žádná záloha předem ani v průběhu realizace.</w:t>
      </w:r>
    </w:p>
    <w:p w14:paraId="648CF874" w14:textId="77777777" w:rsidR="00424FD8" w:rsidRDefault="00424FD8" w:rsidP="00FA2B7D">
      <w:pPr>
        <w:ind w:right="1"/>
        <w:jc w:val="both"/>
      </w:pPr>
      <w:r>
        <w:t>Faktura musí mít náležitosti daňového dokladu. Za datum zdanitelného plnění se považuje skutečné datum předání předmětu plnění.</w:t>
      </w:r>
    </w:p>
    <w:p w14:paraId="0F2470FB" w14:textId="77777777" w:rsidR="008A41F5" w:rsidRPr="00893FC7" w:rsidRDefault="008A41F5" w:rsidP="00FA2B7D">
      <w:pPr>
        <w:ind w:right="1"/>
        <w:jc w:val="both"/>
      </w:pPr>
      <w:r w:rsidRPr="00893FC7">
        <w:lastRenderedPageBreak/>
        <w:t>Faktura musí obsahovat následující text čestného prohlášení: „</w:t>
      </w:r>
      <w:r w:rsidRPr="00950519">
        <w:rPr>
          <w:i/>
        </w:rPr>
        <w:t>Vystavitel tohoto daňového dokladu čestně prohlašuje, že není v insolvenčním řízení, a zavazuje se zde vyčíslenou DPH uhradit včas a řádně příslušnému správci daně.</w:t>
      </w:r>
      <w:r w:rsidRPr="00893FC7">
        <w:t>“ Prohlášení bude uvedeno nad závěrečnou signací dokladu nebo bude znovu podepsáno</w:t>
      </w:r>
      <w:r>
        <w:t>.</w:t>
      </w:r>
    </w:p>
    <w:p w14:paraId="040F03CF" w14:textId="77777777" w:rsidR="008A41F5" w:rsidRDefault="008A41F5"/>
    <w:p w14:paraId="4F11DFA2" w14:textId="77777777" w:rsidR="00424FD8" w:rsidRDefault="00421A92" w:rsidP="00FA2B7D">
      <w:pPr>
        <w:pStyle w:val="Nadpis2"/>
        <w:jc w:val="center"/>
      </w:pPr>
      <w:r>
        <w:t>I</w:t>
      </w:r>
      <w:r w:rsidR="00424FD8">
        <w:t>V. Odpovědnost za vady a záruka</w:t>
      </w:r>
    </w:p>
    <w:p w14:paraId="7BBD35F8" w14:textId="77777777" w:rsidR="00421A92" w:rsidRDefault="00421A92" w:rsidP="00FA2B7D">
      <w:pPr>
        <w:jc w:val="both"/>
      </w:pPr>
      <w:r>
        <w:t xml:space="preserve">Záruka na veškeré dodávky materiálů je poskytována v souladu se zárukou poskytovanou výrobci. Záruky na dílo jsou poskytovány dle </w:t>
      </w:r>
      <w:r w:rsidR="007C0F4D">
        <w:t>Občanského zákoníku</w:t>
      </w:r>
      <w:r>
        <w:t>.</w:t>
      </w:r>
    </w:p>
    <w:p w14:paraId="24CC6F6B" w14:textId="77777777" w:rsidR="00424FD8" w:rsidRDefault="00424FD8" w:rsidP="00FA2B7D">
      <w:pPr>
        <w:jc w:val="both"/>
      </w:pPr>
      <w:r>
        <w:t>Záruční doba začíná běžet ode dne předání a převzetí díla, které je uvedeno na protokolu o předání a převzetí díla.</w:t>
      </w:r>
    </w:p>
    <w:p w14:paraId="51DB2D51" w14:textId="77777777" w:rsidR="00421A92" w:rsidRDefault="00421A92" w:rsidP="00FA2B7D">
      <w:pPr>
        <w:jc w:val="both"/>
      </w:pPr>
      <w:r>
        <w:t>Zhotovitel odpovídá za vady díla, jež jsou patrné při převzetí díla nebo se objeví během záruční doby, pokud byly způsobeny porušením jeho povinností nebo je neodstranil po jejich urgenci objednatelem při předání.</w:t>
      </w:r>
    </w:p>
    <w:p w14:paraId="60666746" w14:textId="77777777" w:rsidR="00421A92" w:rsidRDefault="00424FD8" w:rsidP="00FA2B7D">
      <w:pPr>
        <w:jc w:val="both"/>
      </w:pPr>
      <w:r>
        <w:t>Zhotovitel neodpovídá za vady díla vzniklé v záruční době v souvislosti s</w:t>
      </w:r>
      <w:r w:rsidR="00421A92">
        <w:t> nedodržením podmínek při provozu zařízení nebo jeho provozem v nevhodných podmínkách nebo při zásahu třetí osoby, popř. vyšší moci.</w:t>
      </w:r>
    </w:p>
    <w:p w14:paraId="5394C304" w14:textId="77777777" w:rsidR="00424FD8" w:rsidRDefault="00424FD8" w:rsidP="00FA2B7D">
      <w:pPr>
        <w:jc w:val="both"/>
      </w:pPr>
      <w:r>
        <w:t xml:space="preserve">Zhotovitel musí bezplatně vadu odstranit v dohodnutém termínu. V případě nesplnění termínu zhotovitel zaplatí objednateli za každý den prodlení smluvní pokutu 500,- Kč. </w:t>
      </w:r>
    </w:p>
    <w:p w14:paraId="0D0A6173" w14:textId="77777777" w:rsidR="00424FD8" w:rsidRDefault="00424FD8" w:rsidP="00FA2B7D">
      <w:pPr>
        <w:ind w:right="1"/>
        <w:jc w:val="both"/>
      </w:pPr>
      <w:r>
        <w:t>Pokud zhotovitel nezahájí práce na odstranění vad v dohodnuté době má objednatel právo zadat odstranění vad jiné osobě. Náklady s tím spojené hradí zhotovitel.</w:t>
      </w:r>
    </w:p>
    <w:p w14:paraId="624928F4" w14:textId="77777777" w:rsidR="00424FD8" w:rsidRDefault="00424FD8"/>
    <w:p w14:paraId="2BB510FA" w14:textId="77777777" w:rsidR="00424FD8" w:rsidRDefault="00424FD8">
      <w:pPr>
        <w:pStyle w:val="Nadpis2"/>
        <w:jc w:val="center"/>
      </w:pPr>
      <w:r>
        <w:t>V. Smluvní pokuty</w:t>
      </w:r>
    </w:p>
    <w:p w14:paraId="5C5915B8" w14:textId="77777777" w:rsidR="00424FD8" w:rsidRDefault="00424FD8" w:rsidP="00FA2B7D">
      <w:pPr>
        <w:ind w:right="1"/>
        <w:jc w:val="both"/>
      </w:pPr>
      <w:r>
        <w:t>V případě, že zhotovitel nedodrží termíny plnění, sjednané v této smlouvě, uhradí objednateli smluvní pokutu ve výši 0,05 % za každý den prodlení. Smluvní pokuta bude splatná na základě faktury vystavená objednatelem se splatností 14 dnů.</w:t>
      </w:r>
    </w:p>
    <w:p w14:paraId="7E028877" w14:textId="77777777" w:rsidR="00A51F9A" w:rsidRDefault="00424FD8" w:rsidP="00A51F9A">
      <w:pPr>
        <w:ind w:right="1"/>
        <w:jc w:val="both"/>
      </w:pPr>
      <w:r>
        <w:t>V případě prodlení objednatele s placením faktury uhradí objednavatel zhotoviteli úrok z prodlení ve výši 0,05 % z nezaplacené částky za každý den prodlení.</w:t>
      </w:r>
    </w:p>
    <w:p w14:paraId="2066A1AE" w14:textId="0DD34B75" w:rsidR="00A51F9A" w:rsidRPr="00A51F9A" w:rsidRDefault="00A51F9A" w:rsidP="00A51F9A">
      <w:pPr>
        <w:ind w:right="1"/>
        <w:jc w:val="both"/>
      </w:pPr>
      <w:r w:rsidRPr="00187060">
        <w:rPr>
          <w:snapToGrid w:val="0"/>
        </w:rPr>
        <w:t>Odstoupení od smlouvy se nedotýká nároku na smluvní pokutu.</w:t>
      </w:r>
    </w:p>
    <w:p w14:paraId="18C6DF06" w14:textId="77777777" w:rsidR="00A51F9A" w:rsidRDefault="00A51F9A" w:rsidP="00FA2B7D">
      <w:pPr>
        <w:ind w:right="1"/>
        <w:jc w:val="both"/>
      </w:pPr>
    </w:p>
    <w:p w14:paraId="6BDA9287" w14:textId="77777777" w:rsidR="00424FD8" w:rsidRDefault="00424FD8"/>
    <w:p w14:paraId="3B34294C" w14:textId="77777777" w:rsidR="00424FD8" w:rsidRDefault="00424FD8">
      <w:pPr>
        <w:pStyle w:val="Nadpis2"/>
        <w:jc w:val="center"/>
      </w:pPr>
      <w:r>
        <w:t>VI. Ostatní ujednání</w:t>
      </w:r>
    </w:p>
    <w:p w14:paraId="716FDB2E" w14:textId="6F4AEF2F" w:rsidR="00A51F9A" w:rsidRDefault="00A51F9A" w:rsidP="00187060">
      <w:pPr>
        <w:tabs>
          <w:tab w:val="left" w:pos="0"/>
          <w:tab w:val="left" w:pos="142"/>
        </w:tabs>
        <w:spacing w:before="120"/>
        <w:jc w:val="both"/>
        <w:rPr>
          <w:snapToGrid w:val="0"/>
        </w:rPr>
      </w:pPr>
      <w:r w:rsidRPr="009E3928">
        <w:t>Nastanou-li u některé ze stran skutečnosti bránící řádnému plnění této smlouvy je povinna to ihned bez zbytečného odkladu oznámit druhé straně a vyvola</w:t>
      </w:r>
      <w:r>
        <w:t xml:space="preserve">t jednání zástupců </w:t>
      </w:r>
      <w:r w:rsidRPr="009E3928">
        <w:t>oprávněných k podpisu smlouvy</w:t>
      </w:r>
      <w:r>
        <w:rPr>
          <w:snapToGrid w:val="0"/>
        </w:rPr>
        <w:t>.</w:t>
      </w:r>
    </w:p>
    <w:p w14:paraId="216CE4DD" w14:textId="0F3B4FC4" w:rsidR="00187060" w:rsidRPr="00187060" w:rsidRDefault="00187060" w:rsidP="00187060">
      <w:pPr>
        <w:tabs>
          <w:tab w:val="left" w:pos="0"/>
          <w:tab w:val="left" w:pos="142"/>
        </w:tabs>
        <w:spacing w:before="120"/>
        <w:jc w:val="both"/>
        <w:rPr>
          <w:snapToGrid w:val="0"/>
        </w:rPr>
      </w:pPr>
      <w:r w:rsidRPr="00187060">
        <w:rPr>
          <w:snapToGrid w:val="0"/>
        </w:rPr>
        <w:t xml:space="preserve">Objednatel je oprávněn od smlouvy odstoupit, a to i bez uvedení důvodu. </w:t>
      </w:r>
    </w:p>
    <w:p w14:paraId="6994C5FA" w14:textId="77777777" w:rsidR="00187060" w:rsidRPr="00187060" w:rsidRDefault="00187060" w:rsidP="00187060">
      <w:pPr>
        <w:tabs>
          <w:tab w:val="left" w:pos="0"/>
          <w:tab w:val="left" w:pos="142"/>
        </w:tabs>
        <w:spacing w:before="120"/>
        <w:jc w:val="both"/>
        <w:rPr>
          <w:snapToGrid w:val="0"/>
        </w:rPr>
      </w:pPr>
      <w:r w:rsidRPr="00187060">
        <w:rPr>
          <w:snapToGrid w:val="0"/>
        </w:rPr>
        <w:t>Důvodem pro odstoupení od smlouvy je zejména opakované nekvalitní provedení prací.</w:t>
      </w:r>
    </w:p>
    <w:p w14:paraId="0B7C03E8" w14:textId="77777777" w:rsidR="00187060" w:rsidRPr="00187060" w:rsidRDefault="00187060" w:rsidP="00187060">
      <w:pPr>
        <w:tabs>
          <w:tab w:val="left" w:pos="0"/>
          <w:tab w:val="left" w:pos="142"/>
        </w:tabs>
        <w:spacing w:before="120"/>
        <w:jc w:val="both"/>
        <w:rPr>
          <w:snapToGrid w:val="0"/>
        </w:rPr>
      </w:pPr>
      <w:r w:rsidRPr="00187060">
        <w:rPr>
          <w:snapToGrid w:val="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 /účinným, které nejlépe odpovídá původně zamýšlenému ekonomickému účelu ustanovení neplatného/neúčinného. Do té doby platí odpovídající úprava obecně závazných právních předpisů České republiky.</w:t>
      </w:r>
    </w:p>
    <w:p w14:paraId="1D805B35" w14:textId="77777777" w:rsidR="00A51F9A" w:rsidRPr="00187060" w:rsidRDefault="00A51F9A" w:rsidP="00A51F9A">
      <w:pPr>
        <w:tabs>
          <w:tab w:val="left" w:pos="0"/>
        </w:tabs>
        <w:spacing w:before="120"/>
        <w:jc w:val="both"/>
      </w:pPr>
      <w:r w:rsidRPr="00187060">
        <w:t xml:space="preserve">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w:t>
      </w:r>
      <w:r w:rsidRPr="00187060">
        <w:lastRenderedPageBreak/>
        <w:t>těchto smluv a o registru smluv (zákon o registru smluv). Zveřejnění smlouvy provede Objednatel</w:t>
      </w:r>
    </w:p>
    <w:p w14:paraId="2FAE86F7" w14:textId="42BA5531" w:rsidR="00187060" w:rsidRPr="00187060" w:rsidRDefault="00187060" w:rsidP="00187060">
      <w:pPr>
        <w:tabs>
          <w:tab w:val="left" w:pos="0"/>
          <w:tab w:val="left" w:pos="142"/>
        </w:tabs>
        <w:spacing w:before="120"/>
        <w:jc w:val="both"/>
        <w:rPr>
          <w:snapToGrid w:val="0"/>
        </w:rPr>
      </w:pPr>
      <w:r w:rsidRPr="00187060">
        <w:rPr>
          <w:snapToGrid w:val="0"/>
        </w:rPr>
        <w:t>Smlouva vstupuje v platnost a účinnost</w:t>
      </w:r>
      <w:r w:rsidR="00016533">
        <w:rPr>
          <w:snapToGrid w:val="0"/>
        </w:rPr>
        <w:t xml:space="preserve"> zveřejněním v Registru smluv</w:t>
      </w:r>
      <w:r w:rsidRPr="00187060">
        <w:rPr>
          <w:snapToGrid w:val="0"/>
        </w:rPr>
        <w:t xml:space="preserve"> a její platnost končí 31.12.20</w:t>
      </w:r>
      <w:r w:rsidR="00016533">
        <w:rPr>
          <w:snapToGrid w:val="0"/>
        </w:rPr>
        <w:t>2</w:t>
      </w:r>
      <w:r w:rsidRPr="00187060">
        <w:rPr>
          <w:snapToGrid w:val="0"/>
        </w:rPr>
        <w:t>1.</w:t>
      </w:r>
    </w:p>
    <w:p w14:paraId="557C8799" w14:textId="77777777" w:rsidR="00187060" w:rsidRPr="00187060" w:rsidRDefault="00187060" w:rsidP="00187060">
      <w:pPr>
        <w:tabs>
          <w:tab w:val="left" w:pos="0"/>
        </w:tabs>
        <w:spacing w:before="120"/>
        <w:jc w:val="both"/>
      </w:pPr>
      <w:r w:rsidRPr="00187060">
        <w:rPr>
          <w:snapToGrid w:val="0"/>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14:paraId="256AD891" w14:textId="77777777" w:rsidR="00187060" w:rsidRPr="00187060" w:rsidRDefault="00187060" w:rsidP="00187060">
      <w:pPr>
        <w:tabs>
          <w:tab w:val="left" w:pos="0"/>
        </w:tabs>
        <w:spacing w:before="120"/>
        <w:jc w:val="both"/>
      </w:pPr>
      <w:r w:rsidRPr="00187060">
        <w:t xml:space="preserve">Tato smlouva a vztahy z ní vyplývající se řídí </w:t>
      </w:r>
      <w:r w:rsidRPr="00187060">
        <w:rPr>
          <w:snapToGrid w:val="0"/>
        </w:rPr>
        <w:t>zákonem č. 89/2012 Sb., občanský zákoník, ve znění pozdějších předpisů</w:t>
      </w:r>
      <w:r w:rsidRPr="00187060">
        <w:t>.</w:t>
      </w:r>
    </w:p>
    <w:p w14:paraId="0F03004E" w14:textId="77777777" w:rsidR="00187060" w:rsidRPr="00187060" w:rsidRDefault="00187060" w:rsidP="00187060">
      <w:pPr>
        <w:tabs>
          <w:tab w:val="left" w:pos="0"/>
        </w:tabs>
        <w:spacing w:before="120"/>
        <w:jc w:val="both"/>
      </w:pPr>
      <w:r w:rsidRPr="00187060">
        <w:t>Smluvní strany stvrzují, že plnění z této smlouvy je plněním ve vztahu k veřejnoprávní korporaci a veřejným prostředkům, a tudíž že skutečnosti a údaje uvedené ve smlouvě nejsou obchodním tajemstvím (neplatí o jednotkových cenách).</w:t>
      </w:r>
    </w:p>
    <w:p w14:paraId="131D6857" w14:textId="6037B407" w:rsidR="00187060" w:rsidRDefault="00187060" w:rsidP="00187060">
      <w:pPr>
        <w:tabs>
          <w:tab w:val="left" w:pos="0"/>
          <w:tab w:val="left" w:pos="426"/>
        </w:tabs>
        <w:spacing w:before="120"/>
        <w:jc w:val="both"/>
      </w:pPr>
      <w:r w:rsidRPr="00187060">
        <w:t>Smlouva je vyhotovena ve 2</w:t>
      </w:r>
      <w:r w:rsidRPr="00187060">
        <w:rPr>
          <w:color w:val="000000"/>
        </w:rPr>
        <w:t xml:space="preserve"> stejnopisech, z nichž</w:t>
      </w:r>
      <w:r w:rsidRPr="00187060">
        <w:t xml:space="preserve"> každá strana obdrží po jednom.</w:t>
      </w:r>
    </w:p>
    <w:p w14:paraId="54025E16" w14:textId="5060A0FC" w:rsidR="00A51F9A" w:rsidRPr="00A51F9A" w:rsidRDefault="00A51F9A" w:rsidP="00187060">
      <w:pPr>
        <w:tabs>
          <w:tab w:val="left" w:pos="0"/>
          <w:tab w:val="left" w:pos="426"/>
        </w:tabs>
        <w:spacing w:before="120"/>
        <w:jc w:val="both"/>
        <w:rPr>
          <w:i/>
          <w:iCs/>
          <w:snapToGrid w:val="0"/>
        </w:rPr>
      </w:pPr>
      <w:r w:rsidRPr="00A51F9A">
        <w:rPr>
          <w:i/>
          <w:iCs/>
        </w:rPr>
        <w:t>Příloha: Cenový návrh Zhotovitele z 26.7.2021</w:t>
      </w:r>
    </w:p>
    <w:p w14:paraId="6A388920" w14:textId="77777777" w:rsidR="006314A5" w:rsidRDefault="006314A5" w:rsidP="006314A5">
      <w:pPr>
        <w:ind w:right="-334"/>
        <w:jc w:val="both"/>
        <w:rPr>
          <w:lang w:val="sq-AL"/>
        </w:rPr>
      </w:pPr>
    </w:p>
    <w:p w14:paraId="15F18CD2" w14:textId="58EDC730" w:rsidR="00424FD8" w:rsidRDefault="00424FD8">
      <w:pPr>
        <w:ind w:right="-447"/>
        <w:rPr>
          <w:lang w:val="sq-AL"/>
        </w:rPr>
      </w:pPr>
      <w:r>
        <w:rPr>
          <w:lang w:val="sq-AL"/>
        </w:rPr>
        <w:t>V Pelhřimově</w:t>
      </w:r>
      <w:r>
        <w:rPr>
          <w:lang w:val="sq-AL"/>
        </w:rPr>
        <w:tab/>
      </w:r>
      <w:r w:rsidR="00016533">
        <w:rPr>
          <w:lang w:val="sq-AL"/>
        </w:rPr>
        <w:t>10.srpna 2021</w:t>
      </w:r>
      <w:r w:rsidR="00016533">
        <w:rPr>
          <w:lang w:val="sq-AL"/>
        </w:rPr>
        <w:tab/>
      </w:r>
      <w:r w:rsidR="003C426A">
        <w:rPr>
          <w:lang w:val="sq-AL"/>
        </w:rPr>
        <w:tab/>
      </w:r>
      <w:r w:rsidR="003C426A">
        <w:rPr>
          <w:lang w:val="sq-AL"/>
        </w:rPr>
        <w:tab/>
      </w:r>
      <w:r w:rsidR="003C426A">
        <w:rPr>
          <w:lang w:val="sq-AL"/>
        </w:rPr>
        <w:tab/>
        <w:t xml:space="preserve">V </w:t>
      </w:r>
      <w:r w:rsidR="00016533">
        <w:rPr>
          <w:lang w:val="sq-AL"/>
        </w:rPr>
        <w:t>Jiřetíně pod Jedlovou</w:t>
      </w:r>
      <w:r w:rsidR="003C426A">
        <w:rPr>
          <w:lang w:val="sq-AL"/>
        </w:rPr>
        <w:t xml:space="preserve"> </w:t>
      </w:r>
      <w:r w:rsidR="00A51F9A">
        <w:rPr>
          <w:lang w:val="sq-AL"/>
        </w:rPr>
        <w:t>................</w:t>
      </w:r>
    </w:p>
    <w:p w14:paraId="6EB41D91" w14:textId="43E25839" w:rsidR="00424FD8" w:rsidRDefault="00424FD8">
      <w:pPr>
        <w:ind w:right="-447"/>
        <w:rPr>
          <w:sz w:val="20"/>
          <w:lang w:val="sq-AL"/>
        </w:rPr>
      </w:pPr>
      <w:r>
        <w:rPr>
          <w:sz w:val="20"/>
          <w:lang w:val="sq-AL"/>
        </w:rPr>
        <w:t>Technické služby města Pelhřimova,</w:t>
      </w:r>
      <w:r>
        <w:rPr>
          <w:sz w:val="20"/>
          <w:lang w:val="sq-AL"/>
        </w:rPr>
        <w:tab/>
      </w:r>
      <w:r>
        <w:rPr>
          <w:sz w:val="20"/>
          <w:lang w:val="sq-AL"/>
        </w:rPr>
        <w:tab/>
      </w:r>
      <w:r>
        <w:rPr>
          <w:sz w:val="20"/>
          <w:lang w:val="sq-AL"/>
        </w:rPr>
        <w:tab/>
      </w:r>
      <w:r w:rsidR="00016533">
        <w:rPr>
          <w:sz w:val="20"/>
          <w:lang w:val="sq-AL"/>
        </w:rPr>
        <w:t>EUROGREEN CZ s.r.o.</w:t>
      </w:r>
    </w:p>
    <w:p w14:paraId="0EDF363F" w14:textId="77777777" w:rsidR="00424FD8" w:rsidRDefault="00424FD8">
      <w:pPr>
        <w:ind w:right="-447"/>
        <w:rPr>
          <w:sz w:val="20"/>
          <w:lang w:val="sq-AL"/>
        </w:rPr>
      </w:pPr>
      <w:r>
        <w:rPr>
          <w:sz w:val="20"/>
          <w:lang w:val="sq-AL"/>
        </w:rPr>
        <w:t>příspěvková organizace</w:t>
      </w:r>
    </w:p>
    <w:p w14:paraId="2430B806" w14:textId="77777777" w:rsidR="00424FD8" w:rsidRDefault="00424FD8">
      <w:pPr>
        <w:ind w:right="-447"/>
        <w:rPr>
          <w:lang w:val="sq-AL"/>
        </w:rPr>
      </w:pPr>
    </w:p>
    <w:p w14:paraId="7C108D4D" w14:textId="77777777" w:rsidR="00424FD8" w:rsidRDefault="00424FD8">
      <w:pPr>
        <w:ind w:right="-447"/>
        <w:rPr>
          <w:lang w:val="sq-AL"/>
        </w:rPr>
      </w:pPr>
    </w:p>
    <w:p w14:paraId="2209BBFC" w14:textId="77777777" w:rsidR="003C426A" w:rsidRDefault="003C426A">
      <w:pPr>
        <w:ind w:right="-447"/>
        <w:rPr>
          <w:lang w:val="sq-AL"/>
        </w:rPr>
      </w:pPr>
    </w:p>
    <w:p w14:paraId="6A7D7382" w14:textId="77777777" w:rsidR="003C426A" w:rsidRDefault="003C426A">
      <w:pPr>
        <w:ind w:right="-447"/>
        <w:rPr>
          <w:lang w:val="sq-AL"/>
        </w:rPr>
      </w:pPr>
    </w:p>
    <w:p w14:paraId="69C52E92" w14:textId="29FF4526" w:rsidR="00424FD8" w:rsidRDefault="00424FD8">
      <w:pPr>
        <w:ind w:right="-447"/>
        <w:rPr>
          <w:lang w:val="sq-AL"/>
        </w:rPr>
      </w:pPr>
      <w:r>
        <w:rPr>
          <w:lang w:val="sq-AL"/>
        </w:rPr>
        <w:t>.....................................................</w:t>
      </w:r>
      <w:r>
        <w:rPr>
          <w:lang w:val="sq-AL"/>
        </w:rPr>
        <w:tab/>
      </w:r>
      <w:r>
        <w:rPr>
          <w:lang w:val="sq-AL"/>
        </w:rPr>
        <w:tab/>
      </w:r>
      <w:r>
        <w:rPr>
          <w:lang w:val="sq-AL"/>
        </w:rPr>
        <w:tab/>
        <w:t>..........................................</w:t>
      </w:r>
      <w:r w:rsidR="00016533">
        <w:rPr>
          <w:lang w:val="sq-AL"/>
        </w:rPr>
        <w:t>.....</w:t>
      </w:r>
      <w:r>
        <w:rPr>
          <w:lang w:val="sq-AL"/>
        </w:rPr>
        <w:t>.</w:t>
      </w:r>
    </w:p>
    <w:p w14:paraId="4C9889E7" w14:textId="76D45F9A" w:rsidR="00424FD8" w:rsidRDefault="00424FD8">
      <w:pPr>
        <w:ind w:right="-447"/>
        <w:rPr>
          <w:lang w:val="sq-AL"/>
        </w:rPr>
      </w:pPr>
      <w:r>
        <w:rPr>
          <w:lang w:val="sq-AL"/>
        </w:rPr>
        <w:t xml:space="preserve">   ing. Pavla Licehammerová</w:t>
      </w:r>
      <w:r>
        <w:rPr>
          <w:lang w:val="sq-AL"/>
        </w:rPr>
        <w:tab/>
      </w:r>
      <w:r>
        <w:rPr>
          <w:lang w:val="sq-AL"/>
        </w:rPr>
        <w:tab/>
      </w:r>
      <w:r>
        <w:rPr>
          <w:lang w:val="sq-AL"/>
        </w:rPr>
        <w:tab/>
      </w:r>
      <w:r>
        <w:rPr>
          <w:lang w:val="sq-AL"/>
        </w:rPr>
        <w:tab/>
      </w:r>
      <w:r w:rsidR="003C426A">
        <w:rPr>
          <w:lang w:val="sq-AL"/>
        </w:rPr>
        <w:tab/>
      </w:r>
      <w:r w:rsidR="00016533">
        <w:rPr>
          <w:lang w:val="sq-AL"/>
        </w:rPr>
        <w:t>ing. Tomáš Štěpař</w:t>
      </w:r>
      <w:r>
        <w:rPr>
          <w:lang w:val="sq-AL"/>
        </w:rPr>
        <w:tab/>
      </w:r>
    </w:p>
    <w:sectPr w:rsidR="00424FD8" w:rsidSect="00950519">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0786" w14:textId="77777777" w:rsidR="00B53AD1" w:rsidRDefault="00B53AD1">
      <w:r>
        <w:separator/>
      </w:r>
    </w:p>
  </w:endnote>
  <w:endnote w:type="continuationSeparator" w:id="0">
    <w:p w14:paraId="7D4FC473" w14:textId="77777777" w:rsidR="00B53AD1" w:rsidRDefault="00B5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88EE" w14:textId="77777777" w:rsidR="00424FD8" w:rsidRDefault="00424FD8">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7C0F4D">
      <w:rPr>
        <w:rStyle w:val="slostrnky"/>
        <w:noProof/>
      </w:rPr>
      <w:t>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7C0F4D">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4E38" w14:textId="77777777" w:rsidR="00B53AD1" w:rsidRDefault="00B53AD1">
      <w:r>
        <w:separator/>
      </w:r>
    </w:p>
  </w:footnote>
  <w:footnote w:type="continuationSeparator" w:id="0">
    <w:p w14:paraId="505ADBB8" w14:textId="77777777" w:rsidR="00B53AD1" w:rsidRDefault="00B53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9A1AC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6B6BBE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D3A07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4F26E4A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3DA0B48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C6A8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8ED250"/>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9039E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0A2738"/>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280F0A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14A6842"/>
    <w:multiLevelType w:val="hybridMultilevel"/>
    <w:tmpl w:val="FCFE5BCC"/>
    <w:lvl w:ilvl="0" w:tplc="277E75EC">
      <w:start w:val="1"/>
      <w:numFmt w:val="decimal"/>
      <w:lvlText w:val="%1."/>
      <w:lvlJc w:val="left"/>
      <w:pPr>
        <w:tabs>
          <w:tab w:val="num" w:pos="7996"/>
        </w:tabs>
        <w:ind w:left="7996"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C4C5033"/>
    <w:multiLevelType w:val="hybridMultilevel"/>
    <w:tmpl w:val="3DF2D2FC"/>
    <w:lvl w:ilvl="0" w:tplc="867E2972">
      <w:start w:val="393"/>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37"/>
    <w:rsid w:val="00016533"/>
    <w:rsid w:val="00046418"/>
    <w:rsid w:val="00187060"/>
    <w:rsid w:val="001C6F37"/>
    <w:rsid w:val="001F1969"/>
    <w:rsid w:val="002257CD"/>
    <w:rsid w:val="0039260C"/>
    <w:rsid w:val="003B0855"/>
    <w:rsid w:val="003C426A"/>
    <w:rsid w:val="003F557B"/>
    <w:rsid w:val="00421A92"/>
    <w:rsid w:val="00424FD8"/>
    <w:rsid w:val="00447E89"/>
    <w:rsid w:val="006314A5"/>
    <w:rsid w:val="00744737"/>
    <w:rsid w:val="0075480B"/>
    <w:rsid w:val="007C0F4D"/>
    <w:rsid w:val="007E4C07"/>
    <w:rsid w:val="008A41F5"/>
    <w:rsid w:val="00950519"/>
    <w:rsid w:val="00A51F9A"/>
    <w:rsid w:val="00B32186"/>
    <w:rsid w:val="00B333B1"/>
    <w:rsid w:val="00B53AD1"/>
    <w:rsid w:val="00B84E1A"/>
    <w:rsid w:val="00BC0DAD"/>
    <w:rsid w:val="00DE5D99"/>
    <w:rsid w:val="00E35619"/>
    <w:rsid w:val="00E92BE5"/>
    <w:rsid w:val="00F31984"/>
    <w:rsid w:val="00F34F89"/>
    <w:rsid w:val="00F876B8"/>
    <w:rsid w:val="00FA2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1B25E"/>
  <w15:docId w15:val="{41885340-3EE1-4854-8B78-AC5A8585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HTML">
    <w:name w:val="HTML Address"/>
    <w:basedOn w:val="Normln"/>
    <w:semiHidden/>
    <w:rPr>
      <w:i/>
      <w:iCs/>
    </w:rPr>
  </w:style>
  <w:style w:type="paragraph" w:styleId="Adresanaoblku">
    <w:name w:val="envelope address"/>
    <w:basedOn w:val="Normln"/>
    <w:semiHidden/>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style>
  <w:style w:type="character" w:styleId="CittHTML">
    <w:name w:val="HTML Cite"/>
    <w:basedOn w:val="Standardnpsmoodstavce"/>
    <w:semiHidden/>
    <w:rPr>
      <w:i/>
      <w:iCs/>
    </w:rPr>
  </w:style>
  <w:style w:type="character" w:styleId="slodku">
    <w:name w:val="line number"/>
    <w:basedOn w:val="Standardnpsmoodstavce"/>
    <w:semiHidden/>
  </w:style>
  <w:style w:type="character" w:styleId="slostrnky">
    <w:name w:val="page number"/>
    <w:basedOn w:val="Standardnpsmoodstavce"/>
    <w:semiHidden/>
  </w:style>
  <w:style w:type="paragraph" w:styleId="slovanseznam">
    <w:name w:val="List Number"/>
    <w:basedOn w:val="Normln"/>
    <w:semiHidden/>
    <w:pPr>
      <w:numPr>
        <w:numId w:val="1"/>
      </w:numPr>
    </w:pPr>
  </w:style>
  <w:style w:type="paragraph" w:styleId="slovanseznam2">
    <w:name w:val="List Number 2"/>
    <w:basedOn w:val="Normln"/>
    <w:semiHidden/>
    <w:pPr>
      <w:numPr>
        <w:numId w:val="2"/>
      </w:numPr>
    </w:pPr>
  </w:style>
  <w:style w:type="paragraph" w:styleId="slovanseznam3">
    <w:name w:val="List Number 3"/>
    <w:basedOn w:val="Normln"/>
    <w:semiHidden/>
    <w:pPr>
      <w:numPr>
        <w:numId w:val="3"/>
      </w:numPr>
    </w:pPr>
  </w:style>
  <w:style w:type="paragraph" w:styleId="slovanseznam4">
    <w:name w:val="List Number 4"/>
    <w:basedOn w:val="Normln"/>
    <w:semiHidden/>
    <w:pPr>
      <w:numPr>
        <w:numId w:val="4"/>
      </w:numPr>
    </w:pPr>
  </w:style>
  <w:style w:type="paragraph" w:styleId="slovanseznam5">
    <w:name w:val="List Number 5"/>
    <w:basedOn w:val="Normln"/>
    <w:semiHidden/>
    <w:pPr>
      <w:numPr>
        <w:numId w:val="5"/>
      </w:numPr>
    </w:pPr>
  </w:style>
  <w:style w:type="paragraph" w:styleId="Datum">
    <w:name w:val="Date"/>
    <w:basedOn w:val="Normln"/>
    <w:next w:val="Normln"/>
    <w:semiHidden/>
  </w:style>
  <w:style w:type="character" w:styleId="DefiniceHTML">
    <w:name w:val="HTML Definition"/>
    <w:basedOn w:val="Standardnpsmoodstavce"/>
    <w:semiHidden/>
    <w:rPr>
      <w:i/>
      <w:iCs/>
    </w:rPr>
  </w:style>
  <w:style w:type="paragraph" w:styleId="FormtovanvHTML">
    <w:name w:val="HTML Preformatted"/>
    <w:basedOn w:val="Normln"/>
    <w:semiHidden/>
    <w:rPr>
      <w:rFonts w:ascii="Courier New" w:hAnsi="Courier New" w:cs="Courier New"/>
      <w:sz w:val="20"/>
      <w:szCs w:val="20"/>
    </w:rPr>
  </w:style>
  <w:style w:type="paragraph" w:styleId="Hlavikaobsahu">
    <w:name w:val="toa heading"/>
    <w:basedOn w:val="Normln"/>
    <w:next w:val="Normln"/>
    <w:semiHidden/>
    <w:pPr>
      <w:spacing w:before="120"/>
    </w:pPr>
    <w:rPr>
      <w:rFonts w:ascii="Arial" w:hAnsi="Arial" w:cs="Arial"/>
      <w:b/>
      <w:bCs/>
    </w:rPr>
  </w:style>
  <w:style w:type="paragraph" w:styleId="Rejstk1">
    <w:name w:val="index 1"/>
    <w:basedOn w:val="Normln"/>
    <w:next w:val="Normln"/>
    <w:autoRedefine/>
    <w:semiHidden/>
    <w:pPr>
      <w:ind w:left="240" w:hanging="240"/>
    </w:pPr>
  </w:style>
  <w:style w:type="paragraph" w:styleId="Hlavikarejstku">
    <w:name w:val="index heading"/>
    <w:basedOn w:val="Normln"/>
    <w:next w:val="Rejstk1"/>
    <w:semiHidden/>
    <w:rPr>
      <w:rFonts w:ascii="Arial" w:hAnsi="Arial" w:cs="Arial"/>
      <w:b/>
      <w:bCs/>
    </w:rPr>
  </w:style>
  <w:style w:type="character" w:styleId="Hypertextovodkaz">
    <w:name w:val="Hyperlink"/>
    <w:basedOn w:val="Standardnpsmoodstavce"/>
    <w:semiHidden/>
    <w:rPr>
      <w:color w:val="0000FF"/>
      <w:u w:val="single"/>
    </w:rPr>
  </w:style>
  <w:style w:type="character" w:styleId="KlvesniceHTML">
    <w:name w:val="HTML Keyboard"/>
    <w:basedOn w:val="Standardnpsmoodstavce"/>
    <w:semiHidden/>
    <w:rPr>
      <w:rFonts w:ascii="Courier New" w:hAnsi="Courier New"/>
      <w:sz w:val="20"/>
      <w:szCs w:val="20"/>
    </w:rPr>
  </w:style>
  <w:style w:type="character" w:styleId="KdHTML">
    <w:name w:val="HTML Code"/>
    <w:basedOn w:val="Standardnpsmoodstavce"/>
    <w:semiHidden/>
    <w:rPr>
      <w:rFonts w:ascii="Courier New" w:hAnsi="Courier New"/>
      <w:sz w:val="20"/>
      <w:szCs w:val="20"/>
    </w:rPr>
  </w:style>
  <w:style w:type="paragraph" w:styleId="Nadpispoznmky">
    <w:name w:val="Note Heading"/>
    <w:basedOn w:val="Normln"/>
    <w:next w:val="Normln"/>
    <w:semiHidden/>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Normlnweb">
    <w:name w:val="Normal (Web)"/>
    <w:basedOn w:val="Normln"/>
    <w:semiHidden/>
  </w:style>
  <w:style w:type="paragraph" w:styleId="Normlnodsazen">
    <w:name w:val="Normal Indent"/>
    <w:basedOn w:val="Normln"/>
    <w:semiHidden/>
    <w:pPr>
      <w:ind w:left="708"/>
    </w:p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styleId="Osloven">
    <w:name w:val="Salutation"/>
    <w:basedOn w:val="Normln"/>
    <w:next w:val="Normln"/>
    <w:semiHidden/>
  </w:style>
  <w:style w:type="paragraph" w:styleId="Podpis">
    <w:name w:val="Signature"/>
    <w:basedOn w:val="Normln"/>
    <w:semiHidden/>
    <w:pPr>
      <w:ind w:left="4252"/>
    </w:pPr>
  </w:style>
  <w:style w:type="paragraph" w:styleId="Podpise-mailu">
    <w:name w:val="E-mail Signature"/>
    <w:basedOn w:val="Normln"/>
    <w:semiHidden/>
  </w:style>
  <w:style w:type="paragraph" w:styleId="Podnadpis">
    <w:name w:val="Subtitle"/>
    <w:basedOn w:val="Normln"/>
    <w:qFormat/>
    <w:pPr>
      <w:spacing w:after="60"/>
      <w:jc w:val="center"/>
      <w:outlineLvl w:val="1"/>
    </w:pPr>
    <w:rPr>
      <w:rFonts w:ascii="Arial" w:hAnsi="Arial" w:cs="Arial"/>
    </w:r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character" w:styleId="PromnnHTML">
    <w:name w:val="HTML Variable"/>
    <w:basedOn w:val="Standardnpsmoodstavce"/>
    <w:semiHidden/>
    <w:rPr>
      <w:i/>
      <w:iCs/>
    </w:rPr>
  </w:style>
  <w:style w:type="paragraph" w:styleId="Prosttext">
    <w:name w:val="Plain Text"/>
    <w:basedOn w:val="Normln"/>
    <w:semiHidden/>
    <w:rPr>
      <w:rFonts w:ascii="Courier New" w:hAnsi="Courier New" w:cs="Courier New"/>
      <w:sz w:val="20"/>
      <w:szCs w:val="20"/>
    </w:rPr>
  </w:style>
  <w:style w:type="character" w:styleId="PsacstrojHTML">
    <w:name w:val="HTML Typewriter"/>
    <w:basedOn w:val="Standardnpsmoodstavce"/>
    <w:semiHidden/>
    <w:rPr>
      <w:rFonts w:ascii="Courier New" w:hAnsi="Courier New"/>
      <w:sz w:val="20"/>
      <w:szCs w:val="20"/>
    </w:r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Rozloendokumentu">
    <w:name w:val="Document Map"/>
    <w:basedOn w:val="Normln"/>
    <w:semiHidden/>
    <w:pPr>
      <w:shd w:val="clear" w:color="auto" w:fill="000080"/>
    </w:pPr>
    <w:rPr>
      <w:rFonts w:ascii="Tahoma" w:hAnsi="Tahoma" w:cs="Tahoma"/>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Seznamsodrkami">
    <w:name w:val="List Bullet"/>
    <w:basedOn w:val="Normln"/>
    <w:autoRedefine/>
    <w:semiHidden/>
    <w:pPr>
      <w:numPr>
        <w:numId w:val="6"/>
      </w:numPr>
    </w:pPr>
  </w:style>
  <w:style w:type="paragraph" w:styleId="Seznamsodrkami2">
    <w:name w:val="List Bullet 2"/>
    <w:basedOn w:val="Normln"/>
    <w:autoRedefine/>
    <w:semiHidden/>
    <w:pPr>
      <w:numPr>
        <w:numId w:val="7"/>
      </w:numPr>
    </w:pPr>
  </w:style>
  <w:style w:type="paragraph" w:styleId="Seznamsodrkami3">
    <w:name w:val="List Bullet 3"/>
    <w:basedOn w:val="Normln"/>
    <w:autoRedefine/>
    <w:semiHidden/>
    <w:pPr>
      <w:numPr>
        <w:numId w:val="8"/>
      </w:numPr>
    </w:pPr>
  </w:style>
  <w:style w:type="paragraph" w:styleId="Seznamsodrkami4">
    <w:name w:val="List Bullet 4"/>
    <w:basedOn w:val="Normln"/>
    <w:autoRedefine/>
    <w:semiHidden/>
    <w:pPr>
      <w:numPr>
        <w:numId w:val="9"/>
      </w:numPr>
    </w:pPr>
  </w:style>
  <w:style w:type="paragraph" w:styleId="Seznamsodrkami5">
    <w:name w:val="List Bullet 5"/>
    <w:basedOn w:val="Normln"/>
    <w:autoRedefine/>
    <w:semiHidden/>
    <w:pPr>
      <w:numPr>
        <w:numId w:val="10"/>
      </w:numPr>
    </w:pPr>
  </w:style>
  <w:style w:type="character" w:styleId="Siln">
    <w:name w:val="Strong"/>
    <w:basedOn w:val="Standardnpsmoodstavce"/>
    <w:qFormat/>
    <w:rPr>
      <w:b/>
      <w:bCs/>
    </w:rPr>
  </w:style>
  <w:style w:type="character" w:styleId="Sledovanodkaz">
    <w:name w:val="FollowedHyperlink"/>
    <w:basedOn w:val="Standardnpsmoodstavce"/>
    <w:semiHidden/>
    <w:rPr>
      <w:color w:val="800080"/>
      <w:u w:val="single"/>
    </w:r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extpoznpodarou">
    <w:name w:val="footnote text"/>
    <w:basedOn w:val="Normln"/>
    <w:semiHidden/>
    <w:rPr>
      <w:sz w:val="20"/>
      <w:szCs w:val="20"/>
    </w:rPr>
  </w:style>
  <w:style w:type="paragraph" w:styleId="Textkomente">
    <w:name w:val="annotation text"/>
    <w:basedOn w:val="Normln"/>
    <w:semiHidden/>
    <w:rPr>
      <w:sz w:val="20"/>
      <w:szCs w:val="20"/>
    </w:rPr>
  </w:style>
  <w:style w:type="paragraph" w:styleId="Textvbloku">
    <w:name w:val="Block Text"/>
    <w:basedOn w:val="Normln"/>
    <w:semiHidden/>
    <w:pPr>
      <w:spacing w:after="120"/>
      <w:ind w:left="1440" w:right="1440"/>
    </w:pPr>
  </w:style>
  <w:style w:type="paragraph" w:styleId="Textvysvtlivek">
    <w:name w:val="endnote text"/>
    <w:basedOn w:val="Normln"/>
    <w:semiHidden/>
    <w:rPr>
      <w:sz w:val="20"/>
      <w:szCs w:val="20"/>
    </w:rPr>
  </w:style>
  <w:style w:type="paragraph" w:styleId="Titulek">
    <w:name w:val="caption"/>
    <w:basedOn w:val="Normln"/>
    <w:next w:val="Normln"/>
    <w:qFormat/>
    <w:pPr>
      <w:spacing w:before="120" w:after="120"/>
    </w:pPr>
    <w:rPr>
      <w:b/>
      <w:bCs/>
      <w:sz w:val="20"/>
      <w:szCs w:val="20"/>
    </w:rPr>
  </w:style>
  <w:style w:type="character" w:styleId="UkzkaHTML">
    <w:name w:val="HTML Sample"/>
    <w:basedOn w:val="Standardnpsmoodstavce"/>
    <w:semiHidden/>
    <w:rPr>
      <w:rFonts w:ascii="Courier New" w:hAnsi="Courier New"/>
    </w:rPr>
  </w:style>
  <w:style w:type="paragraph" w:styleId="Zhlav">
    <w:name w:val="header"/>
    <w:basedOn w:val="Normln"/>
    <w:semiHidden/>
    <w:pPr>
      <w:tabs>
        <w:tab w:val="center" w:pos="4536"/>
        <w:tab w:val="right" w:pos="9072"/>
      </w:tabs>
    </w:p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pPr>
      <w:spacing w:after="120"/>
    </w:pPr>
  </w:style>
  <w:style w:type="paragraph" w:styleId="Zkladntext-prvnodsazen">
    <w:name w:val="Body Text First Indent"/>
    <w:basedOn w:val="Zkladntext"/>
    <w:semiHidden/>
    <w:pPr>
      <w:ind w:firstLine="210"/>
    </w:p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Zkladntext2">
    <w:name w:val="Body Text 2"/>
    <w:basedOn w:val="Normln"/>
    <w:semiHidden/>
    <w:pPr>
      <w:spacing w:after="120" w:line="480" w:lineRule="auto"/>
    </w:pPr>
  </w:style>
  <w:style w:type="paragraph" w:styleId="Zkladntext3">
    <w:name w:val="Body Text 3"/>
    <w:basedOn w:val="Normln"/>
    <w:semiHidden/>
    <w:pPr>
      <w:spacing w:after="120"/>
    </w:pPr>
    <w:rPr>
      <w:sz w:val="16"/>
      <w:szCs w:val="16"/>
    </w:r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pat">
    <w:name w:val="footer"/>
    <w:basedOn w:val="Normln"/>
    <w:semiHidden/>
    <w:pPr>
      <w:tabs>
        <w:tab w:val="center" w:pos="4536"/>
        <w:tab w:val="right" w:pos="9072"/>
      </w:tabs>
    </w:pPr>
  </w:style>
  <w:style w:type="paragraph" w:styleId="Zvr">
    <w:name w:val="Closing"/>
    <w:basedOn w:val="Normln"/>
    <w:semiHidden/>
    <w:pPr>
      <w:ind w:left="4252"/>
    </w:pPr>
  </w:style>
  <w:style w:type="character" w:styleId="Znakapoznpodarou">
    <w:name w:val="footnote reference"/>
    <w:basedOn w:val="Standardnpsmoodstavce"/>
    <w:semiHidden/>
    <w:rPr>
      <w:vertAlign w:val="superscript"/>
    </w:rPr>
  </w:style>
  <w:style w:type="character" w:styleId="Odkaznakoment">
    <w:name w:val="annotation reference"/>
    <w:basedOn w:val="Standardnpsmoodstavce"/>
    <w:semiHidden/>
    <w:rPr>
      <w:sz w:val="16"/>
      <w:szCs w:val="16"/>
    </w:rPr>
  </w:style>
  <w:style w:type="character" w:styleId="Odkaznavysvtlivky">
    <w:name w:val="endnote reference"/>
    <w:basedOn w:val="Standardnpsmoodstavce"/>
    <w:semiHidden/>
    <w:rPr>
      <w:vertAlign w:val="superscript"/>
    </w:rPr>
  </w:style>
  <w:style w:type="paragraph" w:styleId="Zptenadresanaoblku">
    <w:name w:val="envelope return"/>
    <w:basedOn w:val="Normln"/>
    <w:semiHidden/>
    <w:rPr>
      <w:rFonts w:ascii="Arial" w:hAnsi="Arial" w:cs="Arial"/>
      <w:sz w:val="20"/>
      <w:szCs w:val="20"/>
    </w:rPr>
  </w:style>
  <w:style w:type="character" w:styleId="Zdraznn">
    <w:name w:val="Emphasis"/>
    <w:basedOn w:val="Standardnpsmoodstavce"/>
    <w:qFormat/>
    <w:rPr>
      <w:i/>
      <w:iCs/>
    </w:rPr>
  </w:style>
  <w:style w:type="paragraph" w:styleId="Textbubliny">
    <w:name w:val="Balloon Text"/>
    <w:basedOn w:val="Normln"/>
    <w:link w:val="TextbublinyChar"/>
    <w:uiPriority w:val="99"/>
    <w:semiHidden/>
    <w:unhideWhenUsed/>
    <w:rsid w:val="007E4C07"/>
    <w:rPr>
      <w:rFonts w:ascii="Tahoma" w:hAnsi="Tahoma" w:cs="Tahoma"/>
      <w:sz w:val="16"/>
      <w:szCs w:val="16"/>
    </w:rPr>
  </w:style>
  <w:style w:type="character" w:customStyle="1" w:styleId="TextbublinyChar">
    <w:name w:val="Text bubliny Char"/>
    <w:basedOn w:val="Standardnpsmoodstavce"/>
    <w:link w:val="Textbubliny"/>
    <w:uiPriority w:val="99"/>
    <w:semiHidden/>
    <w:rsid w:val="007E4C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21C7-C898-43B1-ADB2-CA398570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5362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Smlouva o dílo</vt:lpstr>
    </vt:vector>
  </TitlesOfParts>
  <Company>PC_ASTRA</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06026206AB2</dc:creator>
  <cp:lastModifiedBy>Pokorny</cp:lastModifiedBy>
  <cp:revision>3</cp:revision>
  <cp:lastPrinted>2021-08-09T08:08:00Z</cp:lastPrinted>
  <dcterms:created xsi:type="dcterms:W3CDTF">2021-08-17T04:59:00Z</dcterms:created>
  <dcterms:modified xsi:type="dcterms:W3CDTF">2021-08-17T04:59:00Z</dcterms:modified>
</cp:coreProperties>
</file>