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A" w:rsidRDefault="003932BA" w:rsidP="003932BA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 xml:space="preserve">Dodatek č. 1  </w:t>
      </w:r>
    </w:p>
    <w:p w:rsidR="003932BA" w:rsidRPr="001D7A19" w:rsidRDefault="003932BA" w:rsidP="003932BA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</w:t>
      </w:r>
      <w:r>
        <w:rPr>
          <w:rFonts w:ascii="Arial CE" w:hAnsi="Arial CE" w:cs="Arial"/>
          <w:b/>
          <w:sz w:val="36"/>
          <w:szCs w:val="36"/>
        </w:rPr>
        <w:t>Y</w:t>
      </w:r>
      <w:r w:rsidRPr="001D7A19">
        <w:rPr>
          <w:rFonts w:ascii="Arial CE" w:hAnsi="Arial CE" w:cs="Arial"/>
          <w:b/>
          <w:sz w:val="36"/>
          <w:szCs w:val="36"/>
        </w:rPr>
        <w:t xml:space="preserve">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3932BA" w:rsidRPr="001D7A19" w:rsidRDefault="003932BA" w:rsidP="003932BA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  <w:t>10 - 16</w:t>
      </w:r>
    </w:p>
    <w:p w:rsidR="003932BA" w:rsidRPr="001D7A19" w:rsidRDefault="003932BA" w:rsidP="003932BA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128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>7</w:t>
      </w:r>
    </w:p>
    <w:p w:rsidR="003932BA" w:rsidRDefault="003932BA" w:rsidP="003932BA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</w:p>
    <w:p w:rsidR="003932BA" w:rsidRPr="001D7A19" w:rsidRDefault="003932BA" w:rsidP="003932BA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3932BA" w:rsidRPr="001D7A19" w:rsidRDefault="003932BA" w:rsidP="003932BA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3932BA" w:rsidRDefault="003932BA" w:rsidP="003932BA">
      <w:pPr>
        <w:jc w:val="center"/>
        <w:outlineLvl w:val="0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</w:t>
      </w:r>
      <w:r w:rsidRPr="00A10E22">
        <w:rPr>
          <w:rFonts w:ascii="Arial CE" w:hAnsi="Arial CE" w:cs="Arial"/>
          <w:b/>
          <w:sz w:val="28"/>
          <w:szCs w:val="28"/>
        </w:rPr>
        <w:t xml:space="preserve">Svitávka Dolní Světlá rekonstrukce LB a PB zdi - pan </w:t>
      </w:r>
      <w:proofErr w:type="spellStart"/>
      <w:r w:rsidRPr="00A10E22">
        <w:rPr>
          <w:rFonts w:ascii="Arial CE" w:hAnsi="Arial CE" w:cs="Arial"/>
          <w:b/>
          <w:sz w:val="28"/>
          <w:szCs w:val="28"/>
        </w:rPr>
        <w:t>Pavýza</w:t>
      </w:r>
      <w:proofErr w:type="spellEnd"/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3932BA" w:rsidRPr="00A10E22" w:rsidRDefault="003932BA" w:rsidP="003932BA">
      <w:pPr>
        <w:jc w:val="center"/>
        <w:outlineLvl w:val="0"/>
        <w:rPr>
          <w:rFonts w:ascii="Arial CE" w:hAnsi="Arial CE" w:cs="Arial"/>
          <w:b/>
        </w:rPr>
      </w:pPr>
      <w:r w:rsidRPr="00A10E22">
        <w:rPr>
          <w:rFonts w:ascii="Arial CE" w:hAnsi="Arial CE" w:cs="Arial"/>
          <w:b/>
        </w:rPr>
        <w:t>Projektová dokumentace</w:t>
      </w:r>
    </w:p>
    <w:p w:rsidR="003932BA" w:rsidRDefault="003932BA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3932BA" w:rsidRPr="001D7A19" w:rsidRDefault="003932BA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3932BA" w:rsidRPr="001D7A19" w:rsidRDefault="003932BA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3932BA" w:rsidRPr="001D7A19" w:rsidRDefault="003932BA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3932BA" w:rsidRPr="001D7A19" w:rsidRDefault="003932BA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3932BA" w:rsidRPr="001D7A19" w:rsidRDefault="003932BA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32BA" w:rsidRDefault="003932BA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32BA" w:rsidRPr="001D7A19" w:rsidRDefault="003932BA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3932BA" w:rsidRDefault="003932BA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932BA" w:rsidRDefault="003932BA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32BA" w:rsidRDefault="003932BA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32BA" w:rsidRDefault="003932BA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32BA" w:rsidRPr="001D7A19" w:rsidRDefault="003932BA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3932BA" w:rsidRDefault="003932BA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32BA" w:rsidRDefault="003932BA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32BA" w:rsidRPr="001D7A19" w:rsidRDefault="003932BA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3932BA" w:rsidRDefault="003932BA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932BA" w:rsidRDefault="003932BA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32BA" w:rsidRDefault="003932BA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32BA" w:rsidRDefault="003932BA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32BA" w:rsidRPr="001D7A19" w:rsidRDefault="003932BA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32BA" w:rsidRDefault="003932BA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32BA" w:rsidRDefault="003932BA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32BA" w:rsidRDefault="003932BA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3932BA" w:rsidRPr="001D7A19" w:rsidRDefault="003932BA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3932BA" w:rsidRDefault="003932BA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3932BA" w:rsidRDefault="003932BA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932BA" w:rsidRDefault="003932BA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lastRenderedPageBreak/>
        <w:t xml:space="preserve">  </w:t>
      </w:r>
    </w:p>
    <w:p w:rsidR="0023094B" w:rsidRPr="00766328" w:rsidRDefault="0023094B" w:rsidP="0023094B">
      <w:pPr>
        <w:spacing w:line="30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Default="0023094B" w:rsidP="0023094B">
      <w:pPr>
        <w:pStyle w:val="Smluvn"/>
        <w:spacing w:before="0" w:line="300" w:lineRule="atLeast"/>
      </w:pPr>
    </w:p>
    <w:p w:rsidR="0023094B" w:rsidRDefault="0023094B" w:rsidP="0023094B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23094B" w:rsidRPr="00766328" w:rsidRDefault="0023094B" w:rsidP="0023094B">
      <w:pPr>
        <w:pStyle w:val="Smluvn"/>
        <w:spacing w:before="0" w:line="300" w:lineRule="atLeast"/>
      </w:pPr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Pr="00D05172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23094B" w:rsidRDefault="0023094B" w:rsidP="0069786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9786A" w:rsidRPr="000500E2" w:rsidRDefault="0069786A" w:rsidP="0069786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00E2">
        <w:rPr>
          <w:rFonts w:ascii="Arial" w:hAnsi="Arial" w:cs="Arial"/>
          <w:b/>
          <w:color w:val="000000"/>
          <w:sz w:val="22"/>
          <w:szCs w:val="22"/>
        </w:rPr>
        <w:t xml:space="preserve">Obě smluvní strany </w:t>
      </w:r>
      <w:r w:rsidRPr="00D43AE7">
        <w:rPr>
          <w:rFonts w:ascii="Arial" w:hAnsi="Arial" w:cs="Arial"/>
          <w:b/>
          <w:color w:val="000000"/>
          <w:sz w:val="22"/>
          <w:szCs w:val="22"/>
        </w:rPr>
        <w:t xml:space="preserve">se z důvodu </w:t>
      </w:r>
      <w:r w:rsidR="0023094B">
        <w:rPr>
          <w:rFonts w:ascii="Arial" w:hAnsi="Arial" w:cs="Arial"/>
          <w:b/>
          <w:color w:val="000000"/>
          <w:sz w:val="22"/>
          <w:szCs w:val="22"/>
        </w:rPr>
        <w:t>nutnosti úpravy pozemků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před realizací stavby</w:t>
      </w:r>
      <w:r w:rsidRPr="000500E2">
        <w:rPr>
          <w:rFonts w:ascii="Arial" w:hAnsi="Arial" w:cs="Arial"/>
          <w:b/>
          <w:color w:val="000000"/>
          <w:sz w:val="22"/>
          <w:szCs w:val="22"/>
        </w:rPr>
        <w:t xml:space="preserve"> dohodly na změně textu </w:t>
      </w:r>
      <w:r w:rsidRPr="00E27F37">
        <w:rPr>
          <w:rFonts w:ascii="Arial" w:hAnsi="Arial" w:cs="Arial"/>
          <w:b/>
          <w:color w:val="000000"/>
          <w:sz w:val="22"/>
          <w:szCs w:val="22"/>
        </w:rPr>
        <w:t>Smlouvy o dílo v čl. V.:</w:t>
      </w:r>
    </w:p>
    <w:p w:rsidR="00317D02" w:rsidRDefault="00317D02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</w:p>
    <w:p w:rsidR="0023094B" w:rsidRPr="001D7A19" w:rsidRDefault="0023094B" w:rsidP="0023094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23094B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23094B" w:rsidRPr="0069786A" w:rsidRDefault="0023094B" w:rsidP="0023094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69786A">
        <w:rPr>
          <w:rFonts w:ascii="Arial CE" w:hAnsi="Arial CE" w:cs="Arial"/>
          <w:bCs/>
          <w:sz w:val="22"/>
          <w:szCs w:val="22"/>
          <w:u w:val="single"/>
        </w:rPr>
        <w:t>Původní znění:</w:t>
      </w:r>
    </w:p>
    <w:p w:rsidR="0023094B" w:rsidRPr="001D7A19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23094B" w:rsidRPr="001D7A19" w:rsidRDefault="0023094B" w:rsidP="0023094B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23094B" w:rsidRPr="00E26CEA" w:rsidRDefault="0023094B" w:rsidP="0023094B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143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250</w:t>
      </w:r>
      <w:r w:rsidRPr="00E26CEA">
        <w:rPr>
          <w:rFonts w:ascii="Arial CE" w:hAnsi="Arial CE" w:cs="Arial"/>
          <w:b/>
          <w:sz w:val="22"/>
          <w:szCs w:val="22"/>
        </w:rPr>
        <w:t>,00 Kč bez DPH.</w:t>
      </w:r>
    </w:p>
    <w:p w:rsidR="0023094B" w:rsidRPr="001D7A19" w:rsidRDefault="0023094B" w:rsidP="0023094B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3094B" w:rsidRDefault="0023094B" w:rsidP="0023094B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23094B" w:rsidRDefault="0023094B" w:rsidP="0023094B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23094B" w:rsidRDefault="0023094B" w:rsidP="0023094B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sz w:val="22"/>
          <w:szCs w:val="22"/>
        </w:rPr>
        <w:t>Geodetické zaměření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7 4</w:t>
      </w:r>
      <w:r w:rsidRPr="00E26CEA">
        <w:rPr>
          <w:rFonts w:ascii="Arial CE" w:hAnsi="Arial CE" w:cs="Arial"/>
          <w:sz w:val="22"/>
          <w:szCs w:val="22"/>
        </w:rPr>
        <w:t>00,00 Kč bez DPH</w:t>
      </w:r>
    </w:p>
    <w:p w:rsidR="0023094B" w:rsidRDefault="0023094B" w:rsidP="0023094B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FE16A0">
        <w:rPr>
          <w:rFonts w:ascii="Arial CE" w:hAnsi="Arial CE" w:cs="Arial"/>
          <w:sz w:val="22"/>
          <w:szCs w:val="22"/>
        </w:rPr>
        <w:t>OGP</w:t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 w:rsidRPr="00FE16A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12 700,00</w:t>
      </w:r>
      <w:r w:rsidRPr="00FE16A0">
        <w:rPr>
          <w:rFonts w:ascii="Arial CE" w:hAnsi="Arial CE" w:cs="Arial"/>
          <w:sz w:val="22"/>
          <w:szCs w:val="22"/>
        </w:rPr>
        <w:t xml:space="preserve"> Kč bez </w:t>
      </w:r>
      <w:r w:rsidRPr="00FE16A0">
        <w:rPr>
          <w:rFonts w:ascii="Arial CE" w:hAnsi="Arial CE" w:cs="Arial"/>
          <w:color w:val="000000"/>
          <w:sz w:val="22"/>
          <w:szCs w:val="22"/>
        </w:rPr>
        <w:t>DPH</w:t>
      </w:r>
    </w:p>
    <w:p w:rsidR="0023094B" w:rsidRPr="00E26CEA" w:rsidRDefault="0023094B" w:rsidP="0023094B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23094B" w:rsidRDefault="0023094B" w:rsidP="0023094B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>DSP</w:t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66</w:t>
      </w:r>
      <w:r w:rsidRPr="00E26CEA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501</w:t>
      </w:r>
      <w:r w:rsidRPr="00E26CEA">
        <w:rPr>
          <w:rFonts w:ascii="Arial CE" w:hAnsi="Arial CE" w:cs="Arial"/>
          <w:sz w:val="22"/>
          <w:szCs w:val="22"/>
        </w:rPr>
        <w:t>,00 Kč bez DPH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1076FF" w:rsidRDefault="0023094B" w:rsidP="0023094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 xml:space="preserve">DPS 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56 649</w:t>
      </w:r>
      <w:r w:rsidRPr="00E26CEA">
        <w:rPr>
          <w:rFonts w:ascii="Arial CE" w:hAnsi="Arial CE" w:cs="Arial"/>
          <w:sz w:val="22"/>
          <w:szCs w:val="22"/>
        </w:rPr>
        <w:t>,00 Kč bez DPH</w:t>
      </w: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BB70EF">
        <w:rPr>
          <w:rFonts w:ascii="Arial CE" w:hAnsi="Arial CE" w:cs="Arial"/>
          <w:bCs/>
          <w:sz w:val="22"/>
          <w:szCs w:val="22"/>
          <w:u w:val="single"/>
        </w:rPr>
        <w:t>Nové znění</w:t>
      </w:r>
      <w:r>
        <w:rPr>
          <w:rFonts w:ascii="Arial CE" w:hAnsi="Arial CE" w:cs="Arial"/>
          <w:bCs/>
          <w:sz w:val="22"/>
          <w:szCs w:val="22"/>
          <w:u w:val="single"/>
        </w:rPr>
        <w:t>:</w:t>
      </w:r>
    </w:p>
    <w:p w:rsidR="00BB70EF" w:rsidRDefault="00BB70EF" w:rsidP="00BB70EF">
      <w:pPr>
        <w:jc w:val="both"/>
        <w:rPr>
          <w:rFonts w:ascii="Arial CE" w:hAnsi="Arial CE" w:cs="Arial"/>
          <w:b/>
          <w:sz w:val="22"/>
          <w:szCs w:val="22"/>
        </w:rPr>
      </w:pPr>
    </w:p>
    <w:p w:rsidR="00BB70EF" w:rsidRPr="001D7A19" w:rsidRDefault="00BB70EF" w:rsidP="00BB70E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BB70EF" w:rsidRPr="00E26CEA" w:rsidRDefault="00BB70EF" w:rsidP="00BB70EF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158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250</w:t>
      </w:r>
      <w:r w:rsidRPr="00E26CEA">
        <w:rPr>
          <w:rFonts w:ascii="Arial CE" w:hAnsi="Arial CE" w:cs="Arial"/>
          <w:b/>
          <w:sz w:val="22"/>
          <w:szCs w:val="22"/>
        </w:rPr>
        <w:t>,00 Kč bez DPH.</w:t>
      </w:r>
    </w:p>
    <w:p w:rsidR="00BB70EF" w:rsidRPr="001D7A19" w:rsidRDefault="00BB70EF" w:rsidP="00BB70EF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sz w:val="22"/>
          <w:szCs w:val="22"/>
        </w:rPr>
        <w:t>Geodetické zaměření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7 4</w:t>
      </w:r>
      <w:r w:rsidRPr="00E26CEA">
        <w:rPr>
          <w:rFonts w:ascii="Arial CE" w:hAnsi="Arial CE" w:cs="Arial"/>
          <w:sz w:val="22"/>
          <w:szCs w:val="22"/>
        </w:rPr>
        <w:t>00,00 Kč bez DPH</w:t>
      </w:r>
    </w:p>
    <w:p w:rsidR="00BB70EF" w:rsidRPr="00BB70EF" w:rsidRDefault="00BB70EF" w:rsidP="00BB70EF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BB70EF">
        <w:rPr>
          <w:rFonts w:ascii="Arial CE" w:hAnsi="Arial CE" w:cs="Arial"/>
          <w:b/>
          <w:sz w:val="22"/>
          <w:szCs w:val="22"/>
        </w:rPr>
        <w:t>OGP</w:t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  <w:t xml:space="preserve">27 700,00 Kč bez </w:t>
      </w:r>
      <w:r w:rsidRPr="00BB70EF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BB70EF" w:rsidRPr="00E26CEA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>DSP</w:t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66</w:t>
      </w:r>
      <w:r w:rsidRPr="00E26CEA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501</w:t>
      </w:r>
      <w:r w:rsidRPr="00E26CEA">
        <w:rPr>
          <w:rFonts w:ascii="Arial CE" w:hAnsi="Arial CE" w:cs="Arial"/>
          <w:sz w:val="22"/>
          <w:szCs w:val="22"/>
        </w:rPr>
        <w:t>,00 Kč bez DPH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BB70EF" w:rsidRDefault="00BB70EF" w:rsidP="00BB70EF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 xml:space="preserve">DPS 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56 649</w:t>
      </w:r>
      <w:r w:rsidRPr="00E26CEA">
        <w:rPr>
          <w:rFonts w:ascii="Arial CE" w:hAnsi="Arial CE" w:cs="Arial"/>
          <w:sz w:val="22"/>
          <w:szCs w:val="22"/>
        </w:rPr>
        <w:t>,00 Kč bez DPH</w:t>
      </w:r>
    </w:p>
    <w:p w:rsidR="00BB70EF" w:rsidRP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B70EF" w:rsidRDefault="00BB70E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B70EF" w:rsidRDefault="00BB70E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317D02" w:rsidRPr="001D7A19" w:rsidRDefault="00317D02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317D02" w:rsidRDefault="00317D02" w:rsidP="00317D02">
      <w:pPr>
        <w:rPr>
          <w:rFonts w:ascii="Arial CE" w:hAnsi="Arial CE" w:cs="Arial"/>
          <w:b/>
          <w:bCs/>
          <w:color w:val="000000"/>
        </w:rPr>
      </w:pPr>
    </w:p>
    <w:p w:rsidR="00BB70EF" w:rsidRPr="00B75349" w:rsidRDefault="00BB70EF" w:rsidP="00BB70EF">
      <w:pPr>
        <w:widowControl w:val="0"/>
        <w:numPr>
          <w:ilvl w:val="0"/>
          <w:numId w:val="33"/>
        </w:numPr>
        <w:suppressAutoHyphens/>
        <w:spacing w:after="120" w:line="300" w:lineRule="atLeast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BB70EF" w:rsidRPr="00B75349" w:rsidRDefault="00BB70EF" w:rsidP="00BB70EF">
      <w:pPr>
        <w:numPr>
          <w:ilvl w:val="0"/>
          <w:numId w:val="33"/>
        </w:numPr>
        <w:suppressAutoHyphens/>
        <w:spacing w:line="300" w:lineRule="atLeast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1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smlouvy seznámily, s ním souhlasí, neboť tento odpovídá jejich projevené vůli a na důkaz připojují svoje podpisy.</w:t>
      </w:r>
    </w:p>
    <w:p w:rsidR="00BB70EF" w:rsidRPr="00B75349" w:rsidRDefault="00BB70EF" w:rsidP="00BB70EF">
      <w:pPr>
        <w:numPr>
          <w:ilvl w:val="0"/>
          <w:numId w:val="33"/>
        </w:numPr>
        <w:suppressAutoHyphens/>
        <w:spacing w:line="300" w:lineRule="atLeast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Tento dodatek smlouvy je vyhotoven ve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BB70EF" w:rsidRPr="00B93E8C" w:rsidRDefault="00BB70EF" w:rsidP="00BB70EF">
      <w:pPr>
        <w:numPr>
          <w:ilvl w:val="0"/>
          <w:numId w:val="33"/>
        </w:numPr>
        <w:suppressAutoHyphens/>
        <w:spacing w:line="300" w:lineRule="atLeast"/>
        <w:jc w:val="both"/>
        <w:rPr>
          <w:color w:val="00000A"/>
        </w:rPr>
      </w:pPr>
      <w:r w:rsidRPr="00326D3C">
        <w:rPr>
          <w:rFonts w:ascii="Arial" w:hAnsi="Arial" w:cs="Arial"/>
          <w:bCs/>
          <w:color w:val="000000"/>
          <w:sz w:val="22"/>
          <w:szCs w:val="22"/>
        </w:rPr>
        <w:t xml:space="preserve">Dodatek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č. 1 </w:t>
      </w:r>
      <w:r w:rsidRPr="00326D3C">
        <w:rPr>
          <w:rFonts w:ascii="Arial" w:hAnsi="Arial" w:cs="Arial"/>
          <w:bCs/>
          <w:color w:val="000000"/>
          <w:sz w:val="22"/>
          <w:szCs w:val="22"/>
        </w:rPr>
        <w:t>smlouvy nabývá platnosti a účinnosti dnem jeho podpisu oprávněnými zástupci obou smluvních stran.</w:t>
      </w:r>
    </w:p>
    <w:p w:rsidR="00BB70EF" w:rsidRPr="00B93E8C" w:rsidRDefault="00BB70EF" w:rsidP="00BB70EF">
      <w:pPr>
        <w:numPr>
          <w:ilvl w:val="0"/>
          <w:numId w:val="33"/>
        </w:numPr>
        <w:suppressAutoHyphens/>
        <w:spacing w:line="300" w:lineRule="atLeast"/>
        <w:jc w:val="both"/>
        <w:rPr>
          <w:color w:val="00000A"/>
        </w:rPr>
      </w:pPr>
      <w:r w:rsidRPr="00B93E8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7D02" w:rsidRDefault="00317D02" w:rsidP="00BB70EF">
      <w:pPr>
        <w:ind w:left="284" w:hanging="284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0A49FE" w:rsidRDefault="000A49FE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0A49FE" w:rsidRDefault="000A49FE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0A49FE" w:rsidRDefault="000A49FE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BB70EF" w:rsidRPr="002414B9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Pr="00754BF4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BB70EF" w:rsidRPr="00766328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BB70EF" w:rsidRDefault="00BB70EF" w:rsidP="00BB70EF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BB70EF" w:rsidRPr="00862931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BB70EF" w:rsidRPr="009200FC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718C" w:rsidRPr="001D7A19" w:rsidRDefault="00F6718C" w:rsidP="00BB70EF">
      <w:pPr>
        <w:keepNext/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EF" w:rsidRDefault="006F34EF">
      <w:r>
        <w:separator/>
      </w:r>
    </w:p>
  </w:endnote>
  <w:endnote w:type="continuationSeparator" w:id="0">
    <w:p w:rsidR="006F34EF" w:rsidRDefault="006F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32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32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32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32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EF" w:rsidRDefault="006F34EF">
      <w:r>
        <w:separator/>
      </w:r>
    </w:p>
  </w:footnote>
  <w:footnote w:type="continuationSeparator" w:id="0">
    <w:p w:rsidR="006F34EF" w:rsidRDefault="006F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  <w:p w:rsidR="00683082" w:rsidRDefault="006830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C62"/>
    <w:multiLevelType w:val="hybridMultilevel"/>
    <w:tmpl w:val="B310FCF6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541D1"/>
    <w:multiLevelType w:val="multilevel"/>
    <w:tmpl w:val="EA42873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9">
    <w:nsid w:val="22512787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8B152F6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C3B71"/>
    <w:multiLevelType w:val="hybridMultilevel"/>
    <w:tmpl w:val="E4F07844"/>
    <w:lvl w:ilvl="0" w:tplc="029A097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1E1451C"/>
    <w:multiLevelType w:val="hybridMultilevel"/>
    <w:tmpl w:val="324AD15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678F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66D"/>
    <w:multiLevelType w:val="multilevel"/>
    <w:tmpl w:val="E62E16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C3FBD"/>
    <w:multiLevelType w:val="hybridMultilevel"/>
    <w:tmpl w:val="D512B42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156E9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7A49"/>
    <w:multiLevelType w:val="hybridMultilevel"/>
    <w:tmpl w:val="0D9A0C40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3"/>
  </w:num>
  <w:num w:numId="9">
    <w:abstractNumId w:val="11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20"/>
  </w:num>
  <w:num w:numId="17">
    <w:abstractNumId w:val="14"/>
  </w:num>
  <w:num w:numId="18">
    <w:abstractNumId w:val="19"/>
  </w:num>
  <w:num w:numId="19">
    <w:abstractNumId w:val="31"/>
  </w:num>
  <w:num w:numId="20">
    <w:abstractNumId w:val="24"/>
  </w:num>
  <w:num w:numId="21">
    <w:abstractNumId w:val="22"/>
  </w:num>
  <w:num w:numId="22">
    <w:abstractNumId w:val="30"/>
  </w:num>
  <w:num w:numId="23">
    <w:abstractNumId w:val="32"/>
  </w:num>
  <w:num w:numId="24">
    <w:abstractNumId w:val="27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28"/>
  </w:num>
  <w:num w:numId="30">
    <w:abstractNumId w:val="1"/>
  </w:num>
  <w:num w:numId="31">
    <w:abstractNumId w:val="15"/>
  </w:num>
  <w:num w:numId="32">
    <w:abstractNumId w:val="26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4873"/>
    <w:rsid w:val="00015E80"/>
    <w:rsid w:val="0001791B"/>
    <w:rsid w:val="000207C1"/>
    <w:rsid w:val="0002273E"/>
    <w:rsid w:val="00023F51"/>
    <w:rsid w:val="0002542C"/>
    <w:rsid w:val="000321B7"/>
    <w:rsid w:val="00032F72"/>
    <w:rsid w:val="000363C0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5F95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49FE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4934"/>
    <w:rsid w:val="000F55C1"/>
    <w:rsid w:val="000F7A48"/>
    <w:rsid w:val="001002C7"/>
    <w:rsid w:val="001020AB"/>
    <w:rsid w:val="00105C01"/>
    <w:rsid w:val="001076FF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1CB"/>
    <w:rsid w:val="00177384"/>
    <w:rsid w:val="00177FB6"/>
    <w:rsid w:val="00180BD1"/>
    <w:rsid w:val="001825D8"/>
    <w:rsid w:val="00182A6E"/>
    <w:rsid w:val="00185B2F"/>
    <w:rsid w:val="001918A2"/>
    <w:rsid w:val="00192854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3434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26A85"/>
    <w:rsid w:val="0023094B"/>
    <w:rsid w:val="00230B00"/>
    <w:rsid w:val="00235875"/>
    <w:rsid w:val="00235C2B"/>
    <w:rsid w:val="00236388"/>
    <w:rsid w:val="00242636"/>
    <w:rsid w:val="00242984"/>
    <w:rsid w:val="00243718"/>
    <w:rsid w:val="00244AB5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76"/>
    <w:rsid w:val="00267486"/>
    <w:rsid w:val="00267FC0"/>
    <w:rsid w:val="0027079D"/>
    <w:rsid w:val="00270F73"/>
    <w:rsid w:val="00271CC4"/>
    <w:rsid w:val="002726EA"/>
    <w:rsid w:val="002741F8"/>
    <w:rsid w:val="002744BE"/>
    <w:rsid w:val="00274A11"/>
    <w:rsid w:val="002755ED"/>
    <w:rsid w:val="0027578E"/>
    <w:rsid w:val="00281F45"/>
    <w:rsid w:val="00282BBD"/>
    <w:rsid w:val="00284D3C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3D6"/>
    <w:rsid w:val="002A2427"/>
    <w:rsid w:val="002A2F7E"/>
    <w:rsid w:val="002A56CC"/>
    <w:rsid w:val="002A5C22"/>
    <w:rsid w:val="002A633C"/>
    <w:rsid w:val="002B1B6F"/>
    <w:rsid w:val="002B4882"/>
    <w:rsid w:val="002B5C5A"/>
    <w:rsid w:val="002B7A8B"/>
    <w:rsid w:val="002C0478"/>
    <w:rsid w:val="002C130C"/>
    <w:rsid w:val="002C1521"/>
    <w:rsid w:val="002C1E74"/>
    <w:rsid w:val="002D1C87"/>
    <w:rsid w:val="002D287D"/>
    <w:rsid w:val="002D7622"/>
    <w:rsid w:val="002D791A"/>
    <w:rsid w:val="002E50A9"/>
    <w:rsid w:val="002E6E9A"/>
    <w:rsid w:val="002E716E"/>
    <w:rsid w:val="002E7453"/>
    <w:rsid w:val="002F0122"/>
    <w:rsid w:val="002F0722"/>
    <w:rsid w:val="002F0874"/>
    <w:rsid w:val="002F2C2C"/>
    <w:rsid w:val="002F4AD4"/>
    <w:rsid w:val="002F5CFE"/>
    <w:rsid w:val="003007F2"/>
    <w:rsid w:val="003053A3"/>
    <w:rsid w:val="00307CBB"/>
    <w:rsid w:val="0031002B"/>
    <w:rsid w:val="0031185E"/>
    <w:rsid w:val="00313B0F"/>
    <w:rsid w:val="003152CA"/>
    <w:rsid w:val="003169D7"/>
    <w:rsid w:val="00317D02"/>
    <w:rsid w:val="0032120F"/>
    <w:rsid w:val="00323890"/>
    <w:rsid w:val="00323D67"/>
    <w:rsid w:val="00324EF0"/>
    <w:rsid w:val="00330598"/>
    <w:rsid w:val="0033147B"/>
    <w:rsid w:val="00334095"/>
    <w:rsid w:val="003353C6"/>
    <w:rsid w:val="00344662"/>
    <w:rsid w:val="00345563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67357"/>
    <w:rsid w:val="003738D2"/>
    <w:rsid w:val="00376A92"/>
    <w:rsid w:val="0038143E"/>
    <w:rsid w:val="00382F72"/>
    <w:rsid w:val="00384006"/>
    <w:rsid w:val="00384E47"/>
    <w:rsid w:val="00387024"/>
    <w:rsid w:val="003920FA"/>
    <w:rsid w:val="003927E1"/>
    <w:rsid w:val="003932BA"/>
    <w:rsid w:val="0039331A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5DEF"/>
    <w:rsid w:val="003C779D"/>
    <w:rsid w:val="003D062E"/>
    <w:rsid w:val="003D14C6"/>
    <w:rsid w:val="003D238A"/>
    <w:rsid w:val="003D2D01"/>
    <w:rsid w:val="003D39A5"/>
    <w:rsid w:val="003D423E"/>
    <w:rsid w:val="003E039C"/>
    <w:rsid w:val="003E05B3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3F0D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60A7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2B44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2989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3ACE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3C3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2FC9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6991"/>
    <w:rsid w:val="00595D22"/>
    <w:rsid w:val="00597CA5"/>
    <w:rsid w:val="005A56DF"/>
    <w:rsid w:val="005B1695"/>
    <w:rsid w:val="005B2FB1"/>
    <w:rsid w:val="005B6054"/>
    <w:rsid w:val="005B6D8C"/>
    <w:rsid w:val="005B6E2F"/>
    <w:rsid w:val="005C1D5E"/>
    <w:rsid w:val="005C2681"/>
    <w:rsid w:val="005C2B6F"/>
    <w:rsid w:val="005C33C7"/>
    <w:rsid w:val="005C4DCB"/>
    <w:rsid w:val="005C6903"/>
    <w:rsid w:val="005C7362"/>
    <w:rsid w:val="005C7FCD"/>
    <w:rsid w:val="005D08B3"/>
    <w:rsid w:val="005D2D95"/>
    <w:rsid w:val="005E1501"/>
    <w:rsid w:val="005E428C"/>
    <w:rsid w:val="005E6758"/>
    <w:rsid w:val="005F252E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05D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082"/>
    <w:rsid w:val="00683CB9"/>
    <w:rsid w:val="00683D4B"/>
    <w:rsid w:val="00683F3C"/>
    <w:rsid w:val="0069006E"/>
    <w:rsid w:val="006913C4"/>
    <w:rsid w:val="00692EC5"/>
    <w:rsid w:val="00693149"/>
    <w:rsid w:val="00695ECE"/>
    <w:rsid w:val="0069786A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34EF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05C9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DA6"/>
    <w:rsid w:val="00805ED4"/>
    <w:rsid w:val="00806663"/>
    <w:rsid w:val="00810FD9"/>
    <w:rsid w:val="00811E8B"/>
    <w:rsid w:val="00812E36"/>
    <w:rsid w:val="00815CA6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1EB9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4A3"/>
    <w:rsid w:val="008848EF"/>
    <w:rsid w:val="0089032E"/>
    <w:rsid w:val="00893360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0164"/>
    <w:rsid w:val="008D2DD2"/>
    <w:rsid w:val="008D76B8"/>
    <w:rsid w:val="008E0EB5"/>
    <w:rsid w:val="008E4C5E"/>
    <w:rsid w:val="008E66DA"/>
    <w:rsid w:val="008E7F44"/>
    <w:rsid w:val="008F0424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30BF"/>
    <w:rsid w:val="009D408C"/>
    <w:rsid w:val="009D66BE"/>
    <w:rsid w:val="009E01D5"/>
    <w:rsid w:val="009E0C5A"/>
    <w:rsid w:val="009E2074"/>
    <w:rsid w:val="009E2F8E"/>
    <w:rsid w:val="009E4CE3"/>
    <w:rsid w:val="009E574B"/>
    <w:rsid w:val="009E6154"/>
    <w:rsid w:val="009E7012"/>
    <w:rsid w:val="009E7E81"/>
    <w:rsid w:val="009F0D7D"/>
    <w:rsid w:val="009F2069"/>
    <w:rsid w:val="009F3D5F"/>
    <w:rsid w:val="009F5291"/>
    <w:rsid w:val="009F69E5"/>
    <w:rsid w:val="009F70A1"/>
    <w:rsid w:val="009F7ACB"/>
    <w:rsid w:val="00A00842"/>
    <w:rsid w:val="00A014A6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51AC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5E70"/>
    <w:rsid w:val="00A462C2"/>
    <w:rsid w:val="00A469EA"/>
    <w:rsid w:val="00A47875"/>
    <w:rsid w:val="00A504B1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5DE0"/>
    <w:rsid w:val="00AC65B7"/>
    <w:rsid w:val="00AC6821"/>
    <w:rsid w:val="00AC71F6"/>
    <w:rsid w:val="00AD5D61"/>
    <w:rsid w:val="00AD609E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495"/>
    <w:rsid w:val="00B94BD9"/>
    <w:rsid w:val="00B96495"/>
    <w:rsid w:val="00B97DB0"/>
    <w:rsid w:val="00BA74F4"/>
    <w:rsid w:val="00BB0C43"/>
    <w:rsid w:val="00BB1567"/>
    <w:rsid w:val="00BB34A8"/>
    <w:rsid w:val="00BB5803"/>
    <w:rsid w:val="00BB59AB"/>
    <w:rsid w:val="00BB6962"/>
    <w:rsid w:val="00BB70EF"/>
    <w:rsid w:val="00BB7F83"/>
    <w:rsid w:val="00BC09E9"/>
    <w:rsid w:val="00BC1FC2"/>
    <w:rsid w:val="00BC27F1"/>
    <w:rsid w:val="00BC2E0B"/>
    <w:rsid w:val="00BC4B94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2DF2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5406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626D"/>
    <w:rsid w:val="00CC63EE"/>
    <w:rsid w:val="00CD235F"/>
    <w:rsid w:val="00CD28B8"/>
    <w:rsid w:val="00CD6A24"/>
    <w:rsid w:val="00CD6B3D"/>
    <w:rsid w:val="00CE0812"/>
    <w:rsid w:val="00CE6395"/>
    <w:rsid w:val="00CE6CCE"/>
    <w:rsid w:val="00CE7D07"/>
    <w:rsid w:val="00CE7F23"/>
    <w:rsid w:val="00CE7F4E"/>
    <w:rsid w:val="00CF0188"/>
    <w:rsid w:val="00CF0FB4"/>
    <w:rsid w:val="00CF4ABF"/>
    <w:rsid w:val="00CF5095"/>
    <w:rsid w:val="00D0367E"/>
    <w:rsid w:val="00D05ECD"/>
    <w:rsid w:val="00D079F2"/>
    <w:rsid w:val="00D1072D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6E2B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703C"/>
    <w:rsid w:val="00DF2FD1"/>
    <w:rsid w:val="00DF3776"/>
    <w:rsid w:val="00DF53B2"/>
    <w:rsid w:val="00DF6174"/>
    <w:rsid w:val="00E00412"/>
    <w:rsid w:val="00E008CA"/>
    <w:rsid w:val="00E01410"/>
    <w:rsid w:val="00E03363"/>
    <w:rsid w:val="00E04C36"/>
    <w:rsid w:val="00E05897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41390"/>
    <w:rsid w:val="00E47A58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295C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23D7"/>
    <w:rsid w:val="00EC4FB0"/>
    <w:rsid w:val="00ED2722"/>
    <w:rsid w:val="00ED2743"/>
    <w:rsid w:val="00ED2C1D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EF6CF1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B22"/>
    <w:rsid w:val="00F27A55"/>
    <w:rsid w:val="00F33035"/>
    <w:rsid w:val="00F36290"/>
    <w:rsid w:val="00F378B5"/>
    <w:rsid w:val="00F40A9A"/>
    <w:rsid w:val="00F4254B"/>
    <w:rsid w:val="00F42E6F"/>
    <w:rsid w:val="00F443E7"/>
    <w:rsid w:val="00F448B7"/>
    <w:rsid w:val="00F460E1"/>
    <w:rsid w:val="00F56F84"/>
    <w:rsid w:val="00F57340"/>
    <w:rsid w:val="00F579BF"/>
    <w:rsid w:val="00F60594"/>
    <w:rsid w:val="00F62E41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26D6"/>
    <w:rsid w:val="00F92B39"/>
    <w:rsid w:val="00F97BA5"/>
    <w:rsid w:val="00FA0ABD"/>
    <w:rsid w:val="00FA1B80"/>
    <w:rsid w:val="00FB1FDF"/>
    <w:rsid w:val="00FB59DD"/>
    <w:rsid w:val="00FC312B"/>
    <w:rsid w:val="00FD2025"/>
    <w:rsid w:val="00FD33DA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E2D7-CDED-4B2D-B50F-72281013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3286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2017-02-15T08:39:00Z</cp:lastPrinted>
  <dcterms:created xsi:type="dcterms:W3CDTF">2017-03-15T11:11:00Z</dcterms:created>
  <dcterms:modified xsi:type="dcterms:W3CDTF">2017-03-15T11:11:00Z</dcterms:modified>
</cp:coreProperties>
</file>