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26" w:rsidRDefault="00B95126" w:rsidP="00B95126">
      <w:pPr>
        <w:autoSpaceDE w:val="0"/>
        <w:autoSpaceDN w:val="0"/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0" w:name="_GoBack"/>
      <w:bookmarkEnd w:id="0"/>
    </w:p>
    <w:p w:rsidR="00033845" w:rsidRDefault="00033845" w:rsidP="00B95126">
      <w:pPr>
        <w:autoSpaceDE w:val="0"/>
        <w:autoSpaceDN w:val="0"/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</w:p>
    <w:p w:rsidR="00B95126" w:rsidRPr="00B95126" w:rsidRDefault="00B95126" w:rsidP="00B95126">
      <w:pPr>
        <w:autoSpaceDE w:val="0"/>
        <w:autoSpaceDN w:val="0"/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B95126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Kupní  smlouva  </w:t>
      </w: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iCs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iCs/>
          <w:lang w:eastAsia="cs-CZ"/>
        </w:rPr>
      </w:pPr>
      <w:r w:rsidRPr="00B95126">
        <w:rPr>
          <w:rFonts w:ascii="Arial" w:eastAsia="Times New Roman" w:hAnsi="Arial" w:cs="Arial"/>
          <w:iCs/>
          <w:lang w:eastAsia="cs-CZ"/>
        </w:rPr>
        <w:t>mezi těmito smluvními stranami:</w:t>
      </w:r>
    </w:p>
    <w:p w:rsid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iCs/>
          <w:lang w:eastAsia="cs-CZ"/>
        </w:rPr>
      </w:pPr>
    </w:p>
    <w:p w:rsidR="00033845" w:rsidRPr="00B95126" w:rsidRDefault="00033845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iCs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i/>
          <w:iCs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bCs/>
          <w:lang w:eastAsia="cs-CZ"/>
        </w:rPr>
      </w:pPr>
      <w:r w:rsidRPr="00B95126">
        <w:rPr>
          <w:rFonts w:ascii="Arial" w:eastAsia="Times New Roman" w:hAnsi="Arial" w:cs="Arial"/>
          <w:b/>
          <w:bCs/>
          <w:lang w:eastAsia="cs-CZ"/>
        </w:rPr>
        <w:t>Lesy města Olomouce, a. s.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Cs/>
          <w:lang w:eastAsia="cs-CZ"/>
        </w:rPr>
      </w:pPr>
      <w:r w:rsidRPr="00B95126">
        <w:rPr>
          <w:rFonts w:ascii="Arial" w:eastAsia="Times New Roman" w:hAnsi="Arial" w:cs="Arial"/>
          <w:bCs/>
          <w:lang w:eastAsia="cs-CZ"/>
        </w:rPr>
        <w:t>se sídlem Lomená 177/4, Olomouc, PSČ 779 00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Cs/>
          <w:lang w:eastAsia="cs-CZ"/>
        </w:rPr>
      </w:pPr>
      <w:r w:rsidRPr="00B95126">
        <w:rPr>
          <w:rFonts w:ascii="Arial" w:eastAsia="Times New Roman" w:hAnsi="Arial" w:cs="Arial"/>
          <w:bCs/>
          <w:lang w:eastAsia="cs-CZ"/>
        </w:rPr>
        <w:t>zapsaná v obchodním rejstříku Krajského soudu  v Ostravě, oddíl B, vložka 10156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Cs/>
          <w:lang w:eastAsia="cs-CZ"/>
        </w:rPr>
      </w:pPr>
      <w:r w:rsidRPr="00B95126">
        <w:rPr>
          <w:rFonts w:ascii="Arial" w:eastAsia="Times New Roman" w:hAnsi="Arial" w:cs="Arial"/>
          <w:bCs/>
          <w:lang w:eastAsia="cs-CZ"/>
        </w:rPr>
        <w:t>IČ: 28633032, DIČ: CZ28633032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Cs/>
          <w:lang w:eastAsia="cs-CZ"/>
        </w:rPr>
      </w:pPr>
      <w:r w:rsidRPr="00B95126">
        <w:rPr>
          <w:rFonts w:ascii="Arial" w:eastAsia="Times New Roman" w:hAnsi="Arial" w:cs="Arial"/>
          <w:bCs/>
          <w:lang w:eastAsia="cs-CZ"/>
        </w:rPr>
        <w:t xml:space="preserve">jednající  Ing. </w:t>
      </w:r>
      <w:r w:rsidR="00033845">
        <w:rPr>
          <w:rFonts w:ascii="Arial" w:eastAsia="Times New Roman" w:hAnsi="Arial" w:cs="Arial"/>
          <w:bCs/>
          <w:lang w:eastAsia="cs-CZ"/>
        </w:rPr>
        <w:t>Davidem Janáskem, ředitelem společnosti</w:t>
      </w:r>
      <w:r w:rsidRPr="00B95126">
        <w:rPr>
          <w:rFonts w:ascii="Arial" w:eastAsia="Times New Roman" w:hAnsi="Arial" w:cs="Arial"/>
          <w:bCs/>
          <w:lang w:eastAsia="cs-CZ"/>
        </w:rPr>
        <w:t xml:space="preserve"> 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jako prodávající (dále jen prodávající)</w:t>
      </w:r>
    </w:p>
    <w:p w:rsidR="00B95126" w:rsidRDefault="00B95126" w:rsidP="00B95126">
      <w:pPr>
        <w:spacing w:after="0" w:line="264" w:lineRule="auto"/>
        <w:ind w:left="567" w:right="567"/>
        <w:rPr>
          <w:rFonts w:ascii="Arial" w:eastAsia="Times New Roman" w:hAnsi="Arial" w:cs="Arial"/>
          <w:lang w:eastAsia="cs-CZ"/>
        </w:rPr>
      </w:pPr>
    </w:p>
    <w:p w:rsidR="00033845" w:rsidRPr="00B95126" w:rsidRDefault="00033845" w:rsidP="00B95126">
      <w:pPr>
        <w:spacing w:after="0" w:line="264" w:lineRule="auto"/>
        <w:ind w:left="567" w:right="567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a</w:t>
      </w:r>
    </w:p>
    <w:p w:rsid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lang w:eastAsia="cs-CZ"/>
        </w:rPr>
      </w:pPr>
    </w:p>
    <w:p w:rsidR="00033845" w:rsidRPr="00B95126" w:rsidRDefault="00033845" w:rsidP="00B95126">
      <w:pPr>
        <w:spacing w:after="0" w:line="240" w:lineRule="auto"/>
        <w:ind w:left="567" w:right="567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b/>
          <w:color w:val="000000"/>
          <w:lang w:eastAsia="cs-CZ"/>
        </w:rPr>
      </w:pPr>
      <w:r w:rsidRPr="00B95126">
        <w:rPr>
          <w:rFonts w:ascii="Arial" w:eastAsia="Times New Roman" w:hAnsi="Arial" w:cs="Arial"/>
          <w:b/>
          <w:color w:val="000000"/>
          <w:lang w:eastAsia="cs-CZ"/>
        </w:rPr>
        <w:t>TIA - CZ s.r.o.</w:t>
      </w: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color w:val="000000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>se sídlem Třebízského 443, 798 41 Kostelec na Hané</w:t>
      </w: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color w:val="000000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>zapsaná v OR vedeném Krajským soudem v Brně, oddíl C, vložka 37920</w:t>
      </w: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color w:val="000000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>IČ: 26223970   DIČ: CZ26223970</w:t>
      </w: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color w:val="000000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 xml:space="preserve">jednající Michalem Minaříkem, DiS., jednatelem  </w:t>
      </w:r>
    </w:p>
    <w:p w:rsidR="00B95126" w:rsidRPr="00B95126" w:rsidRDefault="00B95126" w:rsidP="00B95126">
      <w:pPr>
        <w:tabs>
          <w:tab w:val="left" w:pos="6690"/>
        </w:tabs>
        <w:spacing w:after="0" w:line="240" w:lineRule="auto"/>
        <w:ind w:left="567" w:right="567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>jako kupující ( dále jen kupující )</w:t>
      </w:r>
    </w:p>
    <w:p w:rsid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lang w:eastAsia="cs-CZ"/>
        </w:rPr>
      </w:pPr>
    </w:p>
    <w:p w:rsidR="00033845" w:rsidRPr="00B95126" w:rsidRDefault="00033845" w:rsidP="00B95126">
      <w:pPr>
        <w:spacing w:after="0" w:line="240" w:lineRule="auto"/>
        <w:ind w:left="567" w:right="567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>Článek I.</w:t>
      </w: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>Předmět koupě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Default="00B95126" w:rsidP="00B95126">
      <w:pPr>
        <w:numPr>
          <w:ilvl w:val="0"/>
          <w:numId w:val="3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Prodávající prohlašuje, že je výhradním vlastníkem movité použité věci:</w:t>
      </w:r>
    </w:p>
    <w:p w:rsidR="00033845" w:rsidRPr="00B95126" w:rsidRDefault="00033845" w:rsidP="00033845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FF0000"/>
          <w:lang w:eastAsia="cs-CZ"/>
        </w:rPr>
      </w:pPr>
      <w:r w:rsidRPr="00B95126">
        <w:rPr>
          <w:rFonts w:ascii="Arial" w:eastAsia="Times New Roman" w:hAnsi="Arial" w:cs="Arial"/>
          <w:color w:val="FF0000"/>
          <w:lang w:eastAsia="cs-CZ"/>
        </w:rPr>
        <w:t xml:space="preserve">     </w:t>
      </w:r>
    </w:p>
    <w:tbl>
      <w:tblPr>
        <w:tblW w:w="8666" w:type="dxa"/>
        <w:tblInd w:w="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292"/>
        <w:gridCol w:w="2768"/>
        <w:gridCol w:w="2213"/>
        <w:gridCol w:w="1420"/>
      </w:tblGrid>
      <w:tr w:rsidR="00B95126" w:rsidRPr="00B95126" w:rsidTr="00333406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RZ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Název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VIN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6F39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 xml:space="preserve">Cena </w:t>
            </w:r>
            <w:r w:rsidR="006F398D">
              <w:rPr>
                <w:rFonts w:eastAsia="Times New Roman"/>
                <w:color w:val="000000"/>
                <w:lang w:eastAsia="cs-CZ"/>
              </w:rPr>
              <w:t>bez</w:t>
            </w:r>
            <w:r w:rsidRPr="00B95126">
              <w:rPr>
                <w:rFonts w:eastAsia="Times New Roman"/>
                <w:color w:val="000000"/>
                <w:lang w:eastAsia="cs-CZ"/>
              </w:rPr>
              <w:t xml:space="preserve"> DPH</w:t>
            </w:r>
          </w:p>
        </w:tc>
      </w:tr>
      <w:tr w:rsidR="00B95126" w:rsidRPr="00B95126" w:rsidTr="00333406">
        <w:trPr>
          <w:trHeight w:val="3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126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1M4 3471</w:t>
            </w:r>
            <w:r w:rsidR="00B95126" w:rsidRPr="00B951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B9512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Mitsubishi L200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B9512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MMBJNK7403D027315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6F398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28</w:t>
            </w:r>
            <w:r w:rsidR="00B95126" w:rsidRPr="00B9512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1</w:t>
            </w:r>
            <w:r w:rsidR="00B95126" w:rsidRPr="00B95126">
              <w:rPr>
                <w:rFonts w:eastAsia="Times New Roman"/>
                <w:color w:val="000000"/>
                <w:lang w:eastAsia="cs-CZ"/>
              </w:rPr>
              <w:t>00 Kč</w:t>
            </w:r>
          </w:p>
        </w:tc>
      </w:tr>
      <w:tr w:rsidR="00B95126" w:rsidRPr="00B95126" w:rsidTr="00333406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470959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2M6 0890</w:t>
            </w:r>
            <w:r w:rsidR="00B95126" w:rsidRPr="00B951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B9512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Mitsubishi L200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470959" w:rsidP="00B9512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MMBJNK7405D072779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6F398D" w:rsidP="006F398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62 810</w:t>
            </w:r>
            <w:r w:rsidR="00B95126" w:rsidRPr="00B95126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</w:tr>
      <w:tr w:rsidR="00B95126" w:rsidRPr="00B95126" w:rsidTr="00B95126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126" w:rsidRPr="00B95126" w:rsidRDefault="00B95126" w:rsidP="00B95126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9512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5126" w:rsidRPr="00B95126" w:rsidRDefault="006F398D" w:rsidP="006F398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90</w:t>
            </w:r>
            <w:r w:rsidR="00B95126" w:rsidRPr="00B9512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910</w:t>
            </w:r>
            <w:r w:rsidR="00B95126" w:rsidRPr="00B9512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</w:tbl>
    <w:p w:rsid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color w:val="FF0000"/>
          <w:lang w:eastAsia="cs-CZ"/>
        </w:rPr>
        <w:t xml:space="preserve">    </w:t>
      </w:r>
      <w:r w:rsidRPr="00B95126" w:rsidDel="007F38B2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Pr="00B95126">
        <w:rPr>
          <w:rFonts w:ascii="Arial" w:eastAsia="Times New Roman" w:hAnsi="Arial" w:cs="Arial"/>
          <w:b/>
          <w:color w:val="000000"/>
          <w:lang w:eastAsia="cs-CZ"/>
        </w:rPr>
        <w:t xml:space="preserve">     </w:t>
      </w:r>
      <w:r w:rsidRPr="00B95126">
        <w:rPr>
          <w:rFonts w:ascii="Arial" w:eastAsia="Times New Roman" w:hAnsi="Arial" w:cs="Arial"/>
          <w:lang w:eastAsia="cs-CZ"/>
        </w:rPr>
        <w:t xml:space="preserve">(dále jen </w:t>
      </w:r>
      <w:r w:rsidRPr="00B95126">
        <w:rPr>
          <w:rFonts w:ascii="Arial" w:eastAsia="Times New Roman" w:hAnsi="Arial" w:cs="Arial"/>
          <w:b/>
          <w:lang w:eastAsia="cs-CZ"/>
        </w:rPr>
        <w:t>„předmět koupě“).</w:t>
      </w:r>
    </w:p>
    <w:p w:rsidR="00033845" w:rsidRPr="00B95126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 </w:t>
      </w:r>
    </w:p>
    <w:p w:rsidR="00B95126" w:rsidRPr="00B95126" w:rsidRDefault="00B95126" w:rsidP="00B95126">
      <w:pPr>
        <w:numPr>
          <w:ilvl w:val="0"/>
          <w:numId w:val="3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Prodávající prodává touto smlouvou předmět koupě specifikovaný v odst. 1. tohoto článku smlouvy kupujícímu, předává mu</w:t>
      </w:r>
      <w:r w:rsidRPr="00B95126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B95126">
        <w:rPr>
          <w:rFonts w:ascii="Arial" w:eastAsia="Times New Roman" w:hAnsi="Arial" w:cs="Arial"/>
          <w:color w:val="000000"/>
          <w:lang w:eastAsia="cs-CZ"/>
        </w:rPr>
        <w:t>ho</w:t>
      </w:r>
      <w:r w:rsidRPr="00B95126">
        <w:rPr>
          <w:rFonts w:ascii="Arial" w:eastAsia="Times New Roman" w:hAnsi="Arial" w:cs="Arial"/>
          <w:lang w:eastAsia="cs-CZ"/>
        </w:rPr>
        <w:t xml:space="preserve"> a kupující tento předmět koupě od prodávajícího kupuje, přejímá a zavazuje se</w:t>
      </w:r>
      <w:r w:rsidRPr="00B95126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B95126">
        <w:rPr>
          <w:rFonts w:ascii="Arial" w:eastAsia="Times New Roman" w:hAnsi="Arial" w:cs="Arial"/>
          <w:lang w:eastAsia="cs-CZ"/>
        </w:rPr>
        <w:t>zaplatit za něj prodávajícímu sjednanou kupní cenu.</w:t>
      </w:r>
    </w:p>
    <w:p w:rsid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033845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033845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033845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6F398D" w:rsidRPr="00B95126" w:rsidRDefault="006F398D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autoSpaceDE w:val="0"/>
        <w:autoSpaceDN w:val="0"/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>Článek II.</w:t>
      </w:r>
    </w:p>
    <w:p w:rsidR="00B95126" w:rsidRPr="00B95126" w:rsidRDefault="00B95126" w:rsidP="00B95126">
      <w:pPr>
        <w:autoSpaceDE w:val="0"/>
        <w:autoSpaceDN w:val="0"/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 xml:space="preserve">Kupní cena 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6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>Kupní cena předmětu koupě uvedeného v článku I. tét</w:t>
      </w:r>
      <w:r w:rsidR="00EE0E81">
        <w:rPr>
          <w:rFonts w:ascii="Arial" w:eastAsia="Times New Roman" w:hAnsi="Arial" w:cs="Arial"/>
          <w:color w:val="000000"/>
          <w:lang w:eastAsia="cs-CZ"/>
        </w:rPr>
        <w:t>o smlouvy je sjednána ve výši 9</w:t>
      </w:r>
      <w:r w:rsidR="006F398D">
        <w:rPr>
          <w:rFonts w:ascii="Arial" w:eastAsia="Times New Roman" w:hAnsi="Arial" w:cs="Arial"/>
          <w:color w:val="000000"/>
          <w:lang w:eastAsia="cs-CZ"/>
        </w:rPr>
        <w:t>0.910</w:t>
      </w:r>
      <w:r w:rsidRPr="00B95126">
        <w:rPr>
          <w:rFonts w:ascii="Arial" w:eastAsia="Times New Roman" w:hAnsi="Arial" w:cs="Arial"/>
          <w:color w:val="000000"/>
          <w:lang w:eastAsia="cs-CZ"/>
        </w:rPr>
        <w:t>,- Kč + 2</w:t>
      </w:r>
      <w:r>
        <w:rPr>
          <w:rFonts w:ascii="Arial" w:eastAsia="Times New Roman" w:hAnsi="Arial" w:cs="Arial"/>
          <w:color w:val="000000"/>
          <w:lang w:eastAsia="cs-CZ"/>
        </w:rPr>
        <w:t>1</w:t>
      </w:r>
      <w:r w:rsidRPr="00B95126">
        <w:rPr>
          <w:rFonts w:ascii="Arial" w:eastAsia="Times New Roman" w:hAnsi="Arial" w:cs="Arial"/>
          <w:color w:val="000000"/>
          <w:lang w:eastAsia="cs-CZ"/>
        </w:rPr>
        <w:t xml:space="preserve">% DPH, celkem </w:t>
      </w:r>
      <w:r w:rsidR="006F398D">
        <w:rPr>
          <w:rFonts w:ascii="Arial" w:eastAsia="Times New Roman" w:hAnsi="Arial" w:cs="Arial"/>
          <w:b/>
          <w:color w:val="000000"/>
          <w:lang w:eastAsia="cs-CZ"/>
        </w:rPr>
        <w:t>110.001</w:t>
      </w:r>
      <w:r w:rsidRPr="00B95126">
        <w:rPr>
          <w:rFonts w:ascii="Arial" w:eastAsia="Times New Roman" w:hAnsi="Arial" w:cs="Arial"/>
          <w:b/>
          <w:color w:val="000000"/>
          <w:lang w:eastAsia="cs-CZ"/>
        </w:rPr>
        <w:t>,- Kč</w:t>
      </w:r>
      <w:r w:rsidRPr="00B95126">
        <w:rPr>
          <w:rFonts w:ascii="Arial" w:eastAsia="Times New Roman" w:hAnsi="Arial" w:cs="Arial"/>
          <w:color w:val="000000"/>
          <w:lang w:eastAsia="cs-CZ"/>
        </w:rPr>
        <w:t xml:space="preserve"> (slovy </w:t>
      </w:r>
      <w:r w:rsidR="006F398D">
        <w:rPr>
          <w:rFonts w:ascii="Arial" w:eastAsia="Times New Roman" w:hAnsi="Arial" w:cs="Arial"/>
          <w:color w:val="000000"/>
          <w:lang w:eastAsia="cs-CZ"/>
        </w:rPr>
        <w:t>stodesettisícjedna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95126">
        <w:rPr>
          <w:rFonts w:ascii="Arial" w:eastAsia="Times New Roman" w:hAnsi="Arial" w:cs="Arial"/>
          <w:color w:val="000000"/>
          <w:lang w:eastAsia="cs-CZ"/>
        </w:rPr>
        <w:t>korun českých).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B95126" w:rsidRDefault="00B95126" w:rsidP="00B95126">
      <w:pPr>
        <w:numPr>
          <w:ilvl w:val="0"/>
          <w:numId w:val="6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 xml:space="preserve">Smluvní strany se dohodly, že celkovou kupní cenu za předmět koupě uvedený v  článku I. této smlouvy zaplatí kupující prodávajícímu po podpisu této smlouvy </w:t>
      </w:r>
      <w:r w:rsidR="00EE0E81">
        <w:rPr>
          <w:rFonts w:ascii="Arial" w:eastAsia="Times New Roman" w:hAnsi="Arial" w:cs="Arial"/>
          <w:color w:val="000000"/>
          <w:lang w:eastAsia="cs-CZ"/>
        </w:rPr>
        <w:t>na základě vystavené zálohové faktury</w:t>
      </w:r>
      <w:r w:rsidRPr="00B95126">
        <w:rPr>
          <w:rFonts w:ascii="Arial" w:eastAsia="Times New Roman" w:hAnsi="Arial" w:cs="Arial"/>
          <w:color w:val="000000"/>
          <w:lang w:eastAsia="cs-CZ"/>
        </w:rPr>
        <w:t>. Vlastnická práva přecháze</w:t>
      </w:r>
      <w:r w:rsidR="00EE0E81">
        <w:rPr>
          <w:rFonts w:ascii="Arial" w:eastAsia="Times New Roman" w:hAnsi="Arial" w:cs="Arial"/>
          <w:color w:val="000000"/>
          <w:lang w:eastAsia="cs-CZ"/>
        </w:rPr>
        <w:t>j</w:t>
      </w:r>
      <w:r w:rsidRPr="00B95126">
        <w:rPr>
          <w:rFonts w:ascii="Arial" w:eastAsia="Times New Roman" w:hAnsi="Arial" w:cs="Arial"/>
          <w:color w:val="000000"/>
          <w:lang w:eastAsia="cs-CZ"/>
        </w:rPr>
        <w:t xml:space="preserve">í na nového majitele dnem </w:t>
      </w:r>
      <w:r w:rsidR="00EE0E81">
        <w:rPr>
          <w:rFonts w:ascii="Arial" w:eastAsia="Times New Roman" w:hAnsi="Arial" w:cs="Arial"/>
          <w:color w:val="000000"/>
          <w:lang w:eastAsia="cs-CZ"/>
        </w:rPr>
        <w:t>předání předmětu koupě</w:t>
      </w:r>
      <w:r w:rsidRPr="00B95126">
        <w:rPr>
          <w:rFonts w:ascii="Arial" w:eastAsia="Times New Roman" w:hAnsi="Arial" w:cs="Arial"/>
          <w:color w:val="000000"/>
          <w:lang w:eastAsia="cs-CZ"/>
        </w:rPr>
        <w:t>. Tento datum je současně dnem zdanitelného plnění.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B95126" w:rsidRPr="00B95126" w:rsidRDefault="00B95126" w:rsidP="00B95126">
      <w:pPr>
        <w:numPr>
          <w:ilvl w:val="0"/>
          <w:numId w:val="6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B95126">
        <w:rPr>
          <w:rFonts w:ascii="Arial" w:eastAsia="Times New Roman" w:hAnsi="Arial" w:cs="Arial"/>
          <w:color w:val="000000"/>
          <w:lang w:eastAsia="cs-CZ"/>
        </w:rPr>
        <w:t xml:space="preserve">Daňový doklad na kupní cenu předmětu koupě, vystaví prodávající na základě podepsaného protokolu o převzetí předmětu koupě. </w:t>
      </w: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color w:val="000000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>Článek III.</w:t>
      </w: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>Ostatní ujednání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5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Prodávající se zavazuje předat předmět koupě uvedený v článku I. této smlouvy</w:t>
      </w:r>
      <w:r w:rsidRPr="00B95126">
        <w:rPr>
          <w:rFonts w:ascii="Arial" w:eastAsia="Times New Roman" w:hAnsi="Arial" w:cs="Arial"/>
          <w:i/>
          <w:lang w:eastAsia="cs-CZ"/>
        </w:rPr>
        <w:t xml:space="preserve"> </w:t>
      </w:r>
      <w:r w:rsidRPr="00B95126">
        <w:rPr>
          <w:rFonts w:ascii="Arial" w:eastAsia="Times New Roman" w:hAnsi="Arial" w:cs="Arial"/>
          <w:lang w:eastAsia="cs-CZ"/>
        </w:rPr>
        <w:t xml:space="preserve">kupujícímu do 1 týdne po zaplacení sjednané kupní ceny. O předání a převzetí předmětu koupě bude sepsán protokol, jímž kupující potvrdí, že předmět koupě od prodávajícího fyzicky převzal a který se stane přílohou číslo 1 k této smlouvě. </w:t>
      </w:r>
    </w:p>
    <w:p w:rsidR="00B95126" w:rsidRPr="00B95126" w:rsidRDefault="00B95126" w:rsidP="00B95126">
      <w:pPr>
        <w:spacing w:after="0" w:line="240" w:lineRule="auto"/>
        <w:ind w:left="567" w:right="567" w:hanging="360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5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Smluvní strany se dohodly, že kupující se stane vlastníkem předmětu koupě, uvedeného v článku I. této smlouvy, záznamem do technického průkazu.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5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Převzetím předmětu koupě kupujícím od prodávajícího přechází nebezpečí škody na předmětu koupě na kupujícího. 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5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Prodávající prodává předmět koupě ve stavu odpovídajícímu jeho užívání.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5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Kupující prohlašuje, že byl seznámen s celkovým stavem předmětu koupě již před podpisem této smlouvy, jeho stav je mu znám a v takovém ho za sjednanou cenu kupuje tak, jak stojí a leží.</w:t>
      </w:r>
    </w:p>
    <w:p w:rsid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033845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033845" w:rsidRPr="00B95126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>Článek IV.</w:t>
      </w: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>Závěrečná ujednání</w:t>
      </w:r>
    </w:p>
    <w:p w:rsidR="00B95126" w:rsidRPr="00B95126" w:rsidRDefault="00B95126" w:rsidP="00B95126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lang w:eastAsia="cs-CZ"/>
        </w:rPr>
      </w:pPr>
    </w:p>
    <w:p w:rsidR="00B95126" w:rsidRPr="00B95126" w:rsidRDefault="00B95126" w:rsidP="00B95126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Tato smlouva nabývá platnosti a účinnosti dnem jejího podpisu oběma smluvními stranami. Okamžikem podpisu této smlouvy jsou smluvní strany svými projevy vázány. </w:t>
      </w:r>
    </w:p>
    <w:p w:rsidR="00B95126" w:rsidRPr="00B95126" w:rsidRDefault="00B95126" w:rsidP="00B95126">
      <w:pPr>
        <w:spacing w:after="0" w:line="240" w:lineRule="auto"/>
        <w:ind w:left="567" w:right="567" w:hanging="360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Jakékoliv změny a doplňky této smlouvy lze činit pouze formou písemných číslovaných dodatků podepsaných všemi smluvními stranami.  </w:t>
      </w:r>
    </w:p>
    <w:p w:rsidR="00B95126" w:rsidRPr="00B95126" w:rsidRDefault="00B95126" w:rsidP="00B95126">
      <w:pPr>
        <w:spacing w:after="0" w:line="240" w:lineRule="auto"/>
        <w:ind w:left="567" w:right="567" w:hanging="360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Tato smlouva je vyhotovena ve 2 exemplářích s platností originálu, z nichž každá smluvní strana obdrží po 1 vyhotovení.  </w:t>
      </w:r>
    </w:p>
    <w:p w:rsidR="00B95126" w:rsidRPr="00B95126" w:rsidRDefault="00B95126" w:rsidP="00B95126">
      <w:pPr>
        <w:spacing w:after="0" w:line="240" w:lineRule="auto"/>
        <w:ind w:left="567" w:right="567" w:hanging="360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Případná neplatnost některého ustanovení této smlouvy nemá vliv na platnost ostatních jejích ustanovení či článků. </w:t>
      </w:r>
    </w:p>
    <w:p w:rsidR="00B95126" w:rsidRPr="00B95126" w:rsidRDefault="00B95126" w:rsidP="00B95126">
      <w:pPr>
        <w:spacing w:after="0" w:line="240" w:lineRule="auto"/>
        <w:ind w:left="567" w:right="567" w:hanging="360"/>
        <w:jc w:val="both"/>
        <w:rPr>
          <w:rFonts w:ascii="Arial" w:eastAsia="Times New Roman" w:hAnsi="Arial" w:cs="Arial"/>
          <w:lang w:eastAsia="cs-CZ"/>
        </w:rPr>
      </w:pPr>
    </w:p>
    <w:p w:rsidR="00B95126" w:rsidRPr="00E042FD" w:rsidRDefault="00B95126" w:rsidP="00E042FD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Vztahy mezi smluvními stranami, touto smlouvou neupravené se obecně řídí právem ČR</w:t>
      </w:r>
      <w:r w:rsidR="00E042FD">
        <w:rPr>
          <w:rFonts w:ascii="Arial" w:eastAsia="Times New Roman" w:hAnsi="Arial" w:cs="Arial"/>
          <w:lang w:eastAsia="cs-CZ"/>
        </w:rPr>
        <w:t>.</w:t>
      </w:r>
    </w:p>
    <w:p w:rsidR="00E042FD" w:rsidRDefault="00E042FD" w:rsidP="00E042FD">
      <w:pPr>
        <w:pStyle w:val="Odstavecseseznamem"/>
        <w:rPr>
          <w:rFonts w:ascii="Arial" w:eastAsia="Times New Roman" w:hAnsi="Arial" w:cs="Arial"/>
          <w:b/>
          <w:lang w:eastAsia="cs-CZ"/>
        </w:rPr>
      </w:pPr>
    </w:p>
    <w:p w:rsidR="00B95126" w:rsidRPr="00B95126" w:rsidRDefault="00B95126" w:rsidP="00B95126">
      <w:pPr>
        <w:widowControl w:val="0"/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>Smluvní strany prohlašují, že tato smlouva byla sepsána dle jejich pravé a svobodné vůle, což stvrzují svými podpisy</w:t>
      </w:r>
    </w:p>
    <w:p w:rsidR="00B95126" w:rsidRPr="00B95126" w:rsidRDefault="00B95126" w:rsidP="00B95126">
      <w:pPr>
        <w:spacing w:after="0" w:line="240" w:lineRule="auto"/>
        <w:ind w:left="567" w:right="567" w:hanging="360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               </w:t>
      </w:r>
    </w:p>
    <w:p w:rsidR="00033845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033845" w:rsidRDefault="00033845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 xml:space="preserve">V Olomouci, dne </w:t>
      </w:r>
      <w:r w:rsidR="00EE0E81">
        <w:rPr>
          <w:rFonts w:ascii="Arial" w:eastAsia="Times New Roman" w:hAnsi="Arial" w:cs="Arial"/>
          <w:lang w:eastAsia="cs-CZ"/>
        </w:rPr>
        <w:t>2.3</w:t>
      </w:r>
      <w:r w:rsidRPr="00B95126">
        <w:rPr>
          <w:rFonts w:ascii="Arial" w:eastAsia="Times New Roman" w:hAnsi="Arial" w:cs="Arial"/>
          <w:lang w:eastAsia="cs-CZ"/>
        </w:rPr>
        <w:t>.201</w:t>
      </w:r>
      <w:r w:rsidR="006F398D">
        <w:rPr>
          <w:rFonts w:ascii="Arial" w:eastAsia="Times New Roman" w:hAnsi="Arial" w:cs="Arial"/>
          <w:lang w:eastAsia="cs-CZ"/>
        </w:rPr>
        <w:t>7</w:t>
      </w:r>
    </w:p>
    <w:p w:rsidR="00B95126" w:rsidRPr="00B95126" w:rsidRDefault="00B95126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B95126" w:rsidRDefault="00B95126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E042FD" w:rsidRPr="00B95126" w:rsidRDefault="00E042FD" w:rsidP="00B95126">
      <w:pPr>
        <w:spacing w:after="0" w:line="240" w:lineRule="auto"/>
        <w:ind w:left="567" w:right="567" w:firstLine="360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B95126" w:rsidRPr="00B95126" w:rsidRDefault="00033845" w:rsidP="00B95126">
      <w:pPr>
        <w:spacing w:after="0" w:line="240" w:lineRule="auto"/>
        <w:ind w:left="567" w:right="567" w:firstLine="708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B95126" w:rsidRPr="00B95126">
        <w:rPr>
          <w:rFonts w:ascii="Arial" w:eastAsia="Times New Roman" w:hAnsi="Arial" w:cs="Arial"/>
          <w:b/>
          <w:bCs/>
          <w:lang w:eastAsia="cs-CZ"/>
        </w:rPr>
        <w:t xml:space="preserve"> ____________________                                          ___________________ </w:t>
      </w:r>
    </w:p>
    <w:p w:rsidR="00B95126" w:rsidRPr="00B95126" w:rsidRDefault="00B95126" w:rsidP="00B95126">
      <w:pPr>
        <w:spacing w:after="0" w:line="240" w:lineRule="auto"/>
        <w:ind w:left="567" w:right="567"/>
        <w:rPr>
          <w:rFonts w:ascii="Arial" w:eastAsia="Times New Roman" w:hAnsi="Arial" w:cs="Arial"/>
          <w:iCs/>
          <w:lang w:eastAsia="cs-CZ"/>
        </w:rPr>
      </w:pPr>
      <w:r w:rsidRPr="00B95126">
        <w:rPr>
          <w:rFonts w:ascii="Arial" w:eastAsia="Times New Roman" w:hAnsi="Arial" w:cs="Arial"/>
          <w:iCs/>
          <w:lang w:eastAsia="cs-CZ"/>
        </w:rPr>
        <w:t xml:space="preserve">          </w:t>
      </w:r>
      <w:r w:rsidR="00033845">
        <w:rPr>
          <w:rFonts w:ascii="Arial" w:eastAsia="Times New Roman" w:hAnsi="Arial" w:cs="Arial"/>
          <w:iCs/>
          <w:lang w:eastAsia="cs-CZ"/>
        </w:rPr>
        <w:t xml:space="preserve">                </w:t>
      </w:r>
      <w:r w:rsidRPr="00B95126">
        <w:rPr>
          <w:rFonts w:ascii="Arial" w:eastAsia="Times New Roman" w:hAnsi="Arial" w:cs="Arial"/>
          <w:iCs/>
          <w:lang w:eastAsia="cs-CZ"/>
        </w:rPr>
        <w:t>Prodávající                                                                  Kupující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 xml:space="preserve">       </w:t>
      </w:r>
      <w:r w:rsidR="00033845">
        <w:rPr>
          <w:rFonts w:ascii="Arial" w:eastAsia="Times New Roman" w:hAnsi="Arial" w:cs="Arial"/>
          <w:b/>
          <w:lang w:eastAsia="cs-CZ"/>
        </w:rPr>
        <w:t xml:space="preserve">      </w:t>
      </w:r>
      <w:r w:rsidRPr="00B95126">
        <w:rPr>
          <w:rFonts w:ascii="Arial" w:eastAsia="Times New Roman" w:hAnsi="Arial" w:cs="Arial"/>
          <w:b/>
          <w:bCs/>
          <w:lang w:eastAsia="cs-CZ"/>
        </w:rPr>
        <w:t xml:space="preserve">Lesy města Olomouce, a.s.  </w:t>
      </w:r>
      <w:r w:rsidRPr="00B95126">
        <w:rPr>
          <w:rFonts w:ascii="Arial" w:eastAsia="Times New Roman" w:hAnsi="Arial" w:cs="Arial"/>
          <w:b/>
          <w:lang w:eastAsia="cs-CZ"/>
        </w:rPr>
        <w:t xml:space="preserve">                                             TIA – CZ s.r.o.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 xml:space="preserve">                     Ing. </w:t>
      </w:r>
      <w:r w:rsidR="00033845">
        <w:rPr>
          <w:rFonts w:ascii="Arial" w:eastAsia="Times New Roman" w:hAnsi="Arial" w:cs="Arial"/>
          <w:b/>
          <w:lang w:eastAsia="cs-CZ"/>
        </w:rPr>
        <w:t>David Janásek</w:t>
      </w:r>
      <w:r w:rsidR="00033845">
        <w:rPr>
          <w:rFonts w:ascii="Arial" w:eastAsia="Times New Roman" w:hAnsi="Arial" w:cs="Arial"/>
          <w:b/>
          <w:lang w:eastAsia="cs-CZ"/>
        </w:rPr>
        <w:tab/>
      </w:r>
      <w:r w:rsidR="00033845">
        <w:rPr>
          <w:rFonts w:ascii="Arial" w:eastAsia="Times New Roman" w:hAnsi="Arial" w:cs="Arial"/>
          <w:b/>
          <w:lang w:eastAsia="cs-CZ"/>
        </w:rPr>
        <w:tab/>
      </w:r>
      <w:r w:rsidR="00033845">
        <w:rPr>
          <w:rFonts w:ascii="Arial" w:eastAsia="Times New Roman" w:hAnsi="Arial" w:cs="Arial"/>
          <w:b/>
          <w:lang w:eastAsia="cs-CZ"/>
        </w:rPr>
        <w:tab/>
      </w:r>
      <w:r w:rsidR="00033845">
        <w:rPr>
          <w:rFonts w:ascii="Arial" w:eastAsia="Times New Roman" w:hAnsi="Arial" w:cs="Arial"/>
          <w:b/>
          <w:lang w:eastAsia="cs-CZ"/>
        </w:rPr>
        <w:tab/>
        <w:t xml:space="preserve">    </w:t>
      </w:r>
      <w:r w:rsidRPr="00B95126">
        <w:rPr>
          <w:rFonts w:ascii="Arial" w:eastAsia="Times New Roman" w:hAnsi="Arial" w:cs="Arial"/>
          <w:b/>
          <w:lang w:eastAsia="cs-CZ"/>
        </w:rPr>
        <w:t xml:space="preserve">  Michal Minařík, DiS.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b/>
          <w:lang w:eastAsia="cs-CZ"/>
        </w:rPr>
        <w:t xml:space="preserve">            </w:t>
      </w:r>
      <w:r w:rsidRPr="00B95126">
        <w:rPr>
          <w:rFonts w:ascii="Arial" w:eastAsia="Times New Roman" w:hAnsi="Arial" w:cs="Arial"/>
          <w:b/>
          <w:lang w:eastAsia="cs-CZ"/>
        </w:rPr>
        <w:tab/>
      </w:r>
      <w:r w:rsidR="00033845">
        <w:rPr>
          <w:rFonts w:ascii="Arial" w:eastAsia="Times New Roman" w:hAnsi="Arial" w:cs="Arial"/>
          <w:b/>
          <w:lang w:eastAsia="cs-CZ"/>
        </w:rPr>
        <w:t xml:space="preserve">        </w:t>
      </w:r>
      <w:r w:rsidR="00033845">
        <w:rPr>
          <w:rFonts w:ascii="Arial" w:eastAsia="Times New Roman" w:hAnsi="Arial" w:cs="Arial"/>
          <w:lang w:eastAsia="cs-CZ"/>
        </w:rPr>
        <w:t>ředitel společnosti</w:t>
      </w:r>
      <w:r w:rsidRPr="00B95126">
        <w:rPr>
          <w:rFonts w:ascii="Arial" w:eastAsia="Times New Roman" w:hAnsi="Arial" w:cs="Arial"/>
          <w:lang w:eastAsia="cs-CZ"/>
        </w:rPr>
        <w:tab/>
      </w:r>
      <w:r w:rsidRPr="00B95126">
        <w:rPr>
          <w:rFonts w:ascii="Arial" w:eastAsia="Times New Roman" w:hAnsi="Arial" w:cs="Arial"/>
          <w:lang w:eastAsia="cs-CZ"/>
        </w:rPr>
        <w:tab/>
      </w:r>
      <w:r w:rsidRPr="00B95126">
        <w:rPr>
          <w:rFonts w:ascii="Arial" w:eastAsia="Times New Roman" w:hAnsi="Arial" w:cs="Arial"/>
          <w:lang w:eastAsia="cs-CZ"/>
        </w:rPr>
        <w:tab/>
      </w:r>
      <w:r w:rsidRPr="00B95126">
        <w:rPr>
          <w:rFonts w:ascii="Arial" w:eastAsia="Times New Roman" w:hAnsi="Arial" w:cs="Arial"/>
          <w:lang w:eastAsia="cs-CZ"/>
        </w:rPr>
        <w:tab/>
      </w:r>
      <w:r w:rsidRPr="00B95126">
        <w:rPr>
          <w:rFonts w:ascii="Arial" w:eastAsia="Times New Roman" w:hAnsi="Arial" w:cs="Arial"/>
          <w:lang w:eastAsia="cs-CZ"/>
        </w:rPr>
        <w:tab/>
        <w:t xml:space="preserve">   jednatel</w:t>
      </w: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</w:p>
    <w:p w:rsidR="00B95126" w:rsidRPr="00B95126" w:rsidRDefault="00B95126" w:rsidP="00B95126">
      <w:pPr>
        <w:spacing w:after="0" w:line="240" w:lineRule="auto"/>
        <w:ind w:left="567" w:right="567"/>
        <w:jc w:val="both"/>
        <w:rPr>
          <w:rFonts w:ascii="Arial" w:eastAsia="Times New Roman" w:hAnsi="Arial" w:cs="Arial"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ab/>
      </w:r>
      <w:r w:rsidRPr="00B95126">
        <w:rPr>
          <w:rFonts w:ascii="Arial" w:eastAsia="Times New Roman" w:hAnsi="Arial" w:cs="Arial"/>
          <w:lang w:eastAsia="cs-CZ"/>
        </w:rPr>
        <w:tab/>
      </w:r>
    </w:p>
    <w:p w:rsidR="00B95126" w:rsidRPr="00B95126" w:rsidRDefault="00B95126" w:rsidP="00033845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lang w:eastAsia="cs-CZ"/>
        </w:rPr>
      </w:pPr>
      <w:r w:rsidRPr="00B95126">
        <w:rPr>
          <w:rFonts w:ascii="Arial" w:eastAsia="Times New Roman" w:hAnsi="Arial" w:cs="Arial"/>
          <w:lang w:eastAsia="cs-CZ"/>
        </w:rPr>
        <w:tab/>
      </w:r>
      <w:r w:rsidRPr="00B95126">
        <w:rPr>
          <w:rFonts w:ascii="Arial" w:eastAsia="Times New Roman" w:hAnsi="Arial" w:cs="Arial"/>
          <w:lang w:eastAsia="cs-CZ"/>
        </w:rPr>
        <w:tab/>
      </w:r>
    </w:p>
    <w:sectPr w:rsidR="00B95126" w:rsidRPr="00B95126" w:rsidSect="00CB6FF4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25" w:rsidRDefault="00317125" w:rsidP="002241B2">
      <w:pPr>
        <w:spacing w:after="0" w:line="240" w:lineRule="auto"/>
      </w:pPr>
      <w:r>
        <w:separator/>
      </w:r>
    </w:p>
  </w:endnote>
  <w:endnote w:type="continuationSeparator" w:id="0">
    <w:p w:rsidR="00317125" w:rsidRDefault="00317125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71C93B0" wp14:editId="0E5A8236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38699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41F8BB" wp14:editId="1AEFF0BB">
              <wp:simplePos x="0" y="0"/>
              <wp:positionH relativeFrom="column">
                <wp:posOffset>530225</wp:posOffset>
              </wp:positionH>
              <wp:positionV relativeFrom="paragraph">
                <wp:posOffset>90805</wp:posOffset>
              </wp:positionV>
              <wp:extent cx="6114415" cy="0"/>
              <wp:effectExtent l="15875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59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r w:rsidRPr="00365F33">
      <w:rPr>
        <w:sz w:val="20"/>
      </w:rPr>
      <w:t>Tel:   585 414 726                IČ: 28633032                Bankovní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Fax:  585 751 150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25" w:rsidRDefault="00317125" w:rsidP="002241B2">
      <w:pPr>
        <w:spacing w:after="0" w:line="240" w:lineRule="auto"/>
      </w:pPr>
      <w:r>
        <w:separator/>
      </w:r>
    </w:p>
  </w:footnote>
  <w:footnote w:type="continuationSeparator" w:id="0">
    <w:p w:rsidR="00317125" w:rsidRDefault="00317125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2E4C3F" wp14:editId="202FDD49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Olomouc-Neředín, 779 00</w:t>
    </w:r>
  </w:p>
  <w:p w:rsidR="00365F33" w:rsidRPr="001B3523" w:rsidRDefault="0038699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490F89" wp14:editId="78E5E8B0">
              <wp:simplePos x="0" y="0"/>
              <wp:positionH relativeFrom="column">
                <wp:posOffset>-71755</wp:posOffset>
              </wp:positionH>
              <wp:positionV relativeFrom="paragraph">
                <wp:posOffset>120015</wp:posOffset>
              </wp:positionV>
              <wp:extent cx="6983095" cy="0"/>
              <wp:effectExtent l="23495" t="24765" r="2286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F9A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4F5"/>
    <w:multiLevelType w:val="hybridMultilevel"/>
    <w:tmpl w:val="B532B07C"/>
    <w:lvl w:ilvl="0" w:tplc="12E8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17D4E"/>
    <w:multiLevelType w:val="hybridMultilevel"/>
    <w:tmpl w:val="48FC5124"/>
    <w:lvl w:ilvl="0" w:tplc="6582A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5EF64129"/>
    <w:multiLevelType w:val="hybridMultilevel"/>
    <w:tmpl w:val="EF7AC874"/>
    <w:lvl w:ilvl="0" w:tplc="C2360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9B798E"/>
    <w:multiLevelType w:val="hybridMultilevel"/>
    <w:tmpl w:val="12103510"/>
    <w:lvl w:ilvl="0" w:tplc="1D3E1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4181"/>
    <w:rsid w:val="0002369F"/>
    <w:rsid w:val="00031BC7"/>
    <w:rsid w:val="00032D78"/>
    <w:rsid w:val="00033845"/>
    <w:rsid w:val="00057E8C"/>
    <w:rsid w:val="000A43D5"/>
    <w:rsid w:val="00191F1B"/>
    <w:rsid w:val="001B3523"/>
    <w:rsid w:val="001C48A8"/>
    <w:rsid w:val="001E4DD0"/>
    <w:rsid w:val="002241B2"/>
    <w:rsid w:val="00243085"/>
    <w:rsid w:val="00295F86"/>
    <w:rsid w:val="002E404D"/>
    <w:rsid w:val="00306D1C"/>
    <w:rsid w:val="00317125"/>
    <w:rsid w:val="00357C3E"/>
    <w:rsid w:val="00365F33"/>
    <w:rsid w:val="00381375"/>
    <w:rsid w:val="003840BC"/>
    <w:rsid w:val="0038699A"/>
    <w:rsid w:val="003D617B"/>
    <w:rsid w:val="00400AF3"/>
    <w:rsid w:val="004054A5"/>
    <w:rsid w:val="00417B24"/>
    <w:rsid w:val="004211DD"/>
    <w:rsid w:val="00427E27"/>
    <w:rsid w:val="00470959"/>
    <w:rsid w:val="00571B7D"/>
    <w:rsid w:val="005C2BD1"/>
    <w:rsid w:val="005D4F74"/>
    <w:rsid w:val="005F340F"/>
    <w:rsid w:val="00632DAC"/>
    <w:rsid w:val="006925DB"/>
    <w:rsid w:val="006E7A1F"/>
    <w:rsid w:val="006F398D"/>
    <w:rsid w:val="00756965"/>
    <w:rsid w:val="00774CD6"/>
    <w:rsid w:val="00781985"/>
    <w:rsid w:val="00915955"/>
    <w:rsid w:val="00974D0C"/>
    <w:rsid w:val="009B7AF6"/>
    <w:rsid w:val="00A03B9A"/>
    <w:rsid w:val="00A12767"/>
    <w:rsid w:val="00A5377D"/>
    <w:rsid w:val="00A54012"/>
    <w:rsid w:val="00A7419B"/>
    <w:rsid w:val="00A90383"/>
    <w:rsid w:val="00AA0574"/>
    <w:rsid w:val="00AC496B"/>
    <w:rsid w:val="00AC7E33"/>
    <w:rsid w:val="00AD50D4"/>
    <w:rsid w:val="00B10924"/>
    <w:rsid w:val="00B33990"/>
    <w:rsid w:val="00B95126"/>
    <w:rsid w:val="00B96650"/>
    <w:rsid w:val="00BC20DE"/>
    <w:rsid w:val="00C37B78"/>
    <w:rsid w:val="00C7447D"/>
    <w:rsid w:val="00C904A8"/>
    <w:rsid w:val="00CB6FF4"/>
    <w:rsid w:val="00E042FD"/>
    <w:rsid w:val="00E93BD0"/>
    <w:rsid w:val="00EE0E81"/>
    <w:rsid w:val="00F005CE"/>
    <w:rsid w:val="00F6709A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D5BFB-36F5-42EA-8F4B-3AE5F536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32EEB-EB65-45F8-A52B-8FCE680F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Kantorová</dc:creator>
  <cp:lastModifiedBy>Janásek</cp:lastModifiedBy>
  <cp:revision>2</cp:revision>
  <cp:lastPrinted>2014-01-27T11:30:00Z</cp:lastPrinted>
  <dcterms:created xsi:type="dcterms:W3CDTF">2017-03-22T11:48:00Z</dcterms:created>
  <dcterms:modified xsi:type="dcterms:W3CDTF">2017-03-22T11:48:00Z</dcterms:modified>
</cp:coreProperties>
</file>