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DB" w:rsidRPr="001A5A49" w:rsidRDefault="007B2ED6" w:rsidP="001E1ADB">
      <w:pPr>
        <w:jc w:val="center"/>
        <w:rPr>
          <w:rFonts w:ascii="Arial" w:hAnsi="Arial" w:cs="Arial"/>
          <w:b/>
          <w:color w:val="4F81BD"/>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3008AD">
        <w:rPr>
          <w:rFonts w:ascii="Arial" w:hAnsi="Arial" w:cs="Arial"/>
          <w:b/>
          <w:sz w:val="32"/>
          <w:szCs w:val="32"/>
        </w:rPr>
        <w:t>2021/ST/TDI1</w:t>
      </w:r>
    </w:p>
    <w:p w:rsidR="00ED055F" w:rsidRPr="007A191E" w:rsidRDefault="00ED055F" w:rsidP="006D7F79">
      <w:pPr>
        <w:rPr>
          <w:rFonts w:ascii="Arial" w:hAnsi="Arial" w:cs="Arial"/>
          <w:sz w:val="22"/>
          <w:szCs w:val="22"/>
        </w:rPr>
      </w:pPr>
    </w:p>
    <w:p w:rsidR="006D7F79" w:rsidRPr="007A191E" w:rsidRDefault="006D7F79" w:rsidP="006D7F79">
      <w:pPr>
        <w:rPr>
          <w:rFonts w:ascii="Arial" w:hAnsi="Arial" w:cs="Arial"/>
          <w:sz w:val="22"/>
          <w:szCs w:val="22"/>
        </w:rPr>
      </w:pPr>
    </w:p>
    <w:p w:rsidR="002A3995" w:rsidRDefault="0043749B" w:rsidP="0043749B">
      <w:pPr>
        <w:jc w:val="center"/>
        <w:rPr>
          <w:rFonts w:ascii="Arial" w:hAnsi="Arial" w:cs="Arial"/>
          <w:b/>
          <w:snapToGrid w:val="0"/>
          <w:sz w:val="22"/>
          <w:szCs w:val="22"/>
          <w:u w:val="single"/>
        </w:rPr>
      </w:pPr>
      <w:r w:rsidRPr="00711489">
        <w:rPr>
          <w:rFonts w:ascii="Arial" w:hAnsi="Arial"/>
          <w:b/>
          <w:sz w:val="32"/>
          <w:szCs w:val="32"/>
        </w:rPr>
        <w:t xml:space="preserve">Technický dozor investora při realizaci stavby </w:t>
      </w:r>
      <w:r>
        <w:rPr>
          <w:rFonts w:ascii="Arial" w:hAnsi="Arial"/>
          <w:b/>
          <w:sz w:val="32"/>
          <w:szCs w:val="32"/>
        </w:rPr>
        <w:br/>
      </w:r>
      <w:r w:rsidR="0078632D">
        <w:rPr>
          <w:rFonts w:ascii="Arial" w:hAnsi="Arial" w:cs="Arial"/>
          <w:b/>
          <w:sz w:val="28"/>
          <w:szCs w:val="28"/>
        </w:rPr>
        <w:t>„</w:t>
      </w:r>
      <w:r w:rsidR="00103D36" w:rsidRPr="00103D36">
        <w:rPr>
          <w:rFonts w:ascii="Arial" w:hAnsi="Arial" w:cs="Arial"/>
          <w:b/>
          <w:sz w:val="28"/>
          <w:szCs w:val="28"/>
        </w:rPr>
        <w:t>Odborný léčebný ústav Jevíčko, rekonstrukce lůžkové části</w:t>
      </w:r>
      <w:r w:rsidR="001E1ADB" w:rsidRPr="00643385">
        <w:rPr>
          <w:rFonts w:ascii="Arial" w:hAnsi="Arial" w:cs="Arial"/>
          <w:b/>
          <w:sz w:val="28"/>
          <w:szCs w:val="28"/>
        </w:rPr>
        <w:t>“</w:t>
      </w:r>
    </w:p>
    <w:p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rsidR="002C71D6" w:rsidRPr="00243BD5" w:rsidRDefault="003008AD" w:rsidP="003008AD">
            <w:pPr>
              <w:numPr>
                <w:ilvl w:val="12"/>
                <w:numId w:val="0"/>
              </w:numPr>
              <w:spacing w:line="320" w:lineRule="exact"/>
              <w:rPr>
                <w:rFonts w:ascii="Arial" w:hAnsi="Arial"/>
                <w:sz w:val="22"/>
                <w:szCs w:val="22"/>
              </w:rPr>
            </w:pPr>
            <w:r w:rsidRPr="00243BD5">
              <w:rPr>
                <w:rFonts w:ascii="Arial" w:hAnsi="Arial"/>
                <w:b/>
                <w:sz w:val="22"/>
                <w:szCs w:val="22"/>
              </w:rPr>
              <w:t>Odborný léčebný ústav Jevíčko</w:t>
            </w:r>
          </w:p>
        </w:tc>
      </w:tr>
      <w:tr w:rsidR="002C71D6" w:rsidRPr="001E159F" w:rsidTr="002C71D6">
        <w:trPr>
          <w:gridBefore w:val="1"/>
          <w:wBefore w:w="1738" w:type="dxa"/>
        </w:trPr>
        <w:tc>
          <w:tcPr>
            <w:tcW w:w="2798" w:type="dxa"/>
            <w:shd w:val="clear" w:color="auto" w:fill="auto"/>
          </w:tcPr>
          <w:p w:rsidR="002C71D6" w:rsidRPr="00243BD5" w:rsidRDefault="002C71D6" w:rsidP="00855859">
            <w:pPr>
              <w:numPr>
                <w:ilvl w:val="12"/>
                <w:numId w:val="0"/>
              </w:numPr>
              <w:spacing w:line="320" w:lineRule="exact"/>
              <w:rPr>
                <w:rFonts w:ascii="Arial" w:hAnsi="Arial"/>
                <w:sz w:val="22"/>
                <w:szCs w:val="22"/>
              </w:rPr>
            </w:pPr>
            <w:r w:rsidRPr="00243BD5">
              <w:rPr>
                <w:rFonts w:ascii="Arial" w:hAnsi="Arial"/>
                <w:sz w:val="22"/>
                <w:szCs w:val="22"/>
              </w:rPr>
              <w:t>Sídlo - adresa:</w:t>
            </w:r>
          </w:p>
        </w:tc>
        <w:tc>
          <w:tcPr>
            <w:tcW w:w="4820" w:type="dxa"/>
            <w:shd w:val="clear" w:color="auto" w:fill="auto"/>
          </w:tcPr>
          <w:p w:rsidR="002C71D6" w:rsidRPr="00243BD5" w:rsidRDefault="003008AD" w:rsidP="003008AD">
            <w:pPr>
              <w:numPr>
                <w:ilvl w:val="12"/>
                <w:numId w:val="0"/>
              </w:numPr>
              <w:spacing w:line="320" w:lineRule="exact"/>
              <w:rPr>
                <w:rFonts w:ascii="Arial" w:hAnsi="Arial"/>
                <w:sz w:val="22"/>
                <w:szCs w:val="22"/>
              </w:rPr>
            </w:pPr>
            <w:r w:rsidRPr="00243BD5">
              <w:rPr>
                <w:rFonts w:ascii="Arial" w:hAnsi="Arial"/>
                <w:sz w:val="22"/>
                <w:szCs w:val="22"/>
              </w:rPr>
              <w:t>TRN-Léčebna 508, 569 43 Jevíčko</w:t>
            </w:r>
          </w:p>
        </w:tc>
      </w:tr>
      <w:tr w:rsidR="002C71D6" w:rsidRPr="00941488" w:rsidTr="002C71D6">
        <w:trPr>
          <w:gridBefore w:val="1"/>
          <w:wBefore w:w="1738" w:type="dxa"/>
        </w:trPr>
        <w:tc>
          <w:tcPr>
            <w:tcW w:w="2798" w:type="dxa"/>
            <w:shd w:val="clear" w:color="auto" w:fill="auto"/>
          </w:tcPr>
          <w:p w:rsidR="002C71D6" w:rsidRPr="00243BD5" w:rsidRDefault="002C71D6" w:rsidP="00855859">
            <w:pPr>
              <w:numPr>
                <w:ilvl w:val="12"/>
                <w:numId w:val="0"/>
              </w:numPr>
              <w:spacing w:line="320" w:lineRule="exact"/>
              <w:rPr>
                <w:rFonts w:ascii="Arial" w:hAnsi="Arial"/>
                <w:sz w:val="22"/>
                <w:szCs w:val="22"/>
              </w:rPr>
            </w:pPr>
            <w:r w:rsidRPr="00243BD5">
              <w:rPr>
                <w:rFonts w:ascii="Arial" w:hAnsi="Arial"/>
                <w:sz w:val="22"/>
                <w:szCs w:val="22"/>
              </w:rPr>
              <w:t>Zastoupen:</w:t>
            </w:r>
          </w:p>
        </w:tc>
        <w:tc>
          <w:tcPr>
            <w:tcW w:w="4820" w:type="dxa"/>
            <w:shd w:val="clear" w:color="auto" w:fill="auto"/>
          </w:tcPr>
          <w:p w:rsidR="00C55CE6" w:rsidRPr="00243BD5" w:rsidRDefault="00243BD5" w:rsidP="00243BD5">
            <w:pPr>
              <w:numPr>
                <w:ilvl w:val="12"/>
                <w:numId w:val="0"/>
              </w:numPr>
              <w:rPr>
                <w:rFonts w:ascii="Arial" w:hAnsi="Arial"/>
                <w:sz w:val="22"/>
                <w:szCs w:val="22"/>
              </w:rPr>
            </w:pPr>
            <w:r w:rsidRPr="00243BD5">
              <w:rPr>
                <w:rFonts w:ascii="Arial" w:hAnsi="Arial"/>
                <w:sz w:val="22"/>
              </w:rPr>
              <w:t xml:space="preserve">Bc. Naděždou </w:t>
            </w:r>
            <w:proofErr w:type="spellStart"/>
            <w:r w:rsidRPr="00243BD5">
              <w:rPr>
                <w:rFonts w:ascii="Arial" w:hAnsi="Arial"/>
                <w:sz w:val="22"/>
              </w:rPr>
              <w:t>Ivkovičovou</w:t>
            </w:r>
            <w:proofErr w:type="spellEnd"/>
            <w:r w:rsidRPr="00243BD5">
              <w:rPr>
                <w:rFonts w:ascii="Arial" w:hAnsi="Arial"/>
                <w:sz w:val="22"/>
              </w:rPr>
              <w:t xml:space="preserve">, pověřenou řízením ústavu </w:t>
            </w:r>
          </w:p>
        </w:tc>
      </w:tr>
      <w:tr w:rsidR="00841BA9" w:rsidRPr="00941488" w:rsidTr="002C71D6">
        <w:trPr>
          <w:gridBefore w:val="1"/>
          <w:wBefore w:w="1738" w:type="dxa"/>
          <w:trHeight w:val="520"/>
        </w:trPr>
        <w:tc>
          <w:tcPr>
            <w:tcW w:w="2798" w:type="dxa"/>
            <w:shd w:val="clear" w:color="auto" w:fill="auto"/>
            <w:vAlign w:val="center"/>
          </w:tcPr>
          <w:p w:rsidR="00841BA9" w:rsidRPr="00243BD5" w:rsidRDefault="00841BA9" w:rsidP="00855859">
            <w:pPr>
              <w:numPr>
                <w:ilvl w:val="12"/>
                <w:numId w:val="0"/>
              </w:numPr>
              <w:spacing w:line="240" w:lineRule="exact"/>
              <w:rPr>
                <w:rFonts w:ascii="Arial" w:hAnsi="Arial"/>
                <w:sz w:val="22"/>
                <w:szCs w:val="22"/>
              </w:rPr>
            </w:pPr>
            <w:r w:rsidRPr="00243BD5">
              <w:rPr>
                <w:rFonts w:ascii="Arial" w:hAnsi="Arial"/>
                <w:sz w:val="22"/>
                <w:szCs w:val="22"/>
              </w:rPr>
              <w:t>Osoby oprávněné jednat ve věcech technických:</w:t>
            </w:r>
          </w:p>
        </w:tc>
        <w:tc>
          <w:tcPr>
            <w:tcW w:w="4820" w:type="dxa"/>
            <w:shd w:val="clear" w:color="auto" w:fill="auto"/>
          </w:tcPr>
          <w:p w:rsidR="00841BA9" w:rsidRPr="00243BD5" w:rsidRDefault="00243BD5" w:rsidP="00243BD5">
            <w:pPr>
              <w:numPr>
                <w:ilvl w:val="12"/>
                <w:numId w:val="0"/>
              </w:numPr>
              <w:spacing w:line="240" w:lineRule="exact"/>
              <w:rPr>
                <w:rFonts w:ascii="Arial" w:hAnsi="Arial"/>
                <w:sz w:val="22"/>
                <w:szCs w:val="22"/>
              </w:rPr>
            </w:pPr>
            <w:r w:rsidRPr="00243BD5">
              <w:rPr>
                <w:rFonts w:ascii="Arial" w:hAnsi="Arial"/>
                <w:sz w:val="22"/>
                <w:szCs w:val="22"/>
              </w:rPr>
              <w:t xml:space="preserve">Ing. Antonín Staněk, technický náměstek </w:t>
            </w:r>
          </w:p>
        </w:tc>
      </w:tr>
      <w:tr w:rsidR="00841BA9" w:rsidRPr="00941488" w:rsidTr="002C71D6">
        <w:trPr>
          <w:gridBefore w:val="1"/>
          <w:wBefore w:w="1738" w:type="dxa"/>
        </w:trPr>
        <w:tc>
          <w:tcPr>
            <w:tcW w:w="2798" w:type="dxa"/>
            <w:shd w:val="clear" w:color="auto" w:fill="auto"/>
          </w:tcPr>
          <w:p w:rsidR="00841BA9" w:rsidRPr="00243BD5" w:rsidRDefault="00841BA9" w:rsidP="00855859">
            <w:pPr>
              <w:numPr>
                <w:ilvl w:val="12"/>
                <w:numId w:val="0"/>
              </w:numPr>
              <w:spacing w:line="320" w:lineRule="exact"/>
              <w:rPr>
                <w:rFonts w:ascii="Arial" w:hAnsi="Arial"/>
                <w:sz w:val="22"/>
                <w:szCs w:val="22"/>
              </w:rPr>
            </w:pPr>
            <w:r w:rsidRPr="00243BD5">
              <w:rPr>
                <w:rFonts w:ascii="Arial" w:hAnsi="Arial"/>
                <w:sz w:val="22"/>
                <w:szCs w:val="22"/>
              </w:rPr>
              <w:t xml:space="preserve">IČ: </w:t>
            </w:r>
          </w:p>
        </w:tc>
        <w:tc>
          <w:tcPr>
            <w:tcW w:w="4820" w:type="dxa"/>
            <w:shd w:val="clear" w:color="auto" w:fill="auto"/>
            <w:vAlign w:val="center"/>
          </w:tcPr>
          <w:p w:rsidR="00841BA9" w:rsidRPr="00243BD5" w:rsidRDefault="00243BD5" w:rsidP="00855859">
            <w:pPr>
              <w:rPr>
                <w:rFonts w:ascii="Arial" w:hAnsi="Arial"/>
                <w:sz w:val="22"/>
                <w:szCs w:val="22"/>
              </w:rPr>
            </w:pPr>
            <w:r w:rsidRPr="00243BD5">
              <w:rPr>
                <w:rFonts w:ascii="Arial" w:hAnsi="Arial"/>
                <w:sz w:val="22"/>
                <w:szCs w:val="22"/>
              </w:rPr>
              <w:t>00193976</w:t>
            </w:r>
          </w:p>
        </w:tc>
      </w:tr>
      <w:tr w:rsidR="00841BA9" w:rsidRPr="00941488" w:rsidTr="002C71D6">
        <w:trPr>
          <w:gridBefore w:val="1"/>
          <w:wBefore w:w="1738" w:type="dxa"/>
        </w:trPr>
        <w:tc>
          <w:tcPr>
            <w:tcW w:w="2798" w:type="dxa"/>
            <w:shd w:val="clear" w:color="auto" w:fill="auto"/>
          </w:tcPr>
          <w:p w:rsidR="00841BA9" w:rsidRPr="00243BD5" w:rsidRDefault="00841BA9" w:rsidP="00855859">
            <w:pPr>
              <w:numPr>
                <w:ilvl w:val="12"/>
                <w:numId w:val="0"/>
              </w:numPr>
              <w:spacing w:line="320" w:lineRule="exact"/>
              <w:rPr>
                <w:rFonts w:ascii="Arial" w:hAnsi="Arial"/>
                <w:sz w:val="22"/>
                <w:szCs w:val="22"/>
              </w:rPr>
            </w:pPr>
            <w:r w:rsidRPr="00243BD5">
              <w:rPr>
                <w:rFonts w:ascii="Arial" w:hAnsi="Arial"/>
                <w:sz w:val="22"/>
                <w:szCs w:val="22"/>
              </w:rPr>
              <w:t>DIČ:</w:t>
            </w:r>
          </w:p>
        </w:tc>
        <w:tc>
          <w:tcPr>
            <w:tcW w:w="4820" w:type="dxa"/>
            <w:shd w:val="clear" w:color="auto" w:fill="auto"/>
            <w:vAlign w:val="center"/>
          </w:tcPr>
          <w:p w:rsidR="00841BA9" w:rsidRPr="00243BD5" w:rsidRDefault="00841BA9" w:rsidP="00243BD5">
            <w:pPr>
              <w:rPr>
                <w:sz w:val="22"/>
                <w:szCs w:val="22"/>
              </w:rPr>
            </w:pPr>
            <w:r w:rsidRPr="00243BD5">
              <w:rPr>
                <w:rFonts w:ascii="Arial" w:hAnsi="Arial"/>
                <w:sz w:val="22"/>
                <w:szCs w:val="22"/>
              </w:rPr>
              <w:t>CZ</w:t>
            </w:r>
            <w:r w:rsidR="00243BD5" w:rsidRPr="00243BD5">
              <w:rPr>
                <w:rFonts w:ascii="Arial" w:hAnsi="Arial"/>
                <w:sz w:val="22"/>
                <w:szCs w:val="22"/>
              </w:rPr>
              <w:t>00193976</w:t>
            </w:r>
          </w:p>
        </w:tc>
      </w:tr>
    </w:tbl>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C86C64" w:rsidP="00C86C64">
            <w:pPr>
              <w:numPr>
                <w:ilvl w:val="12"/>
                <w:numId w:val="0"/>
              </w:numPr>
              <w:spacing w:line="320" w:lineRule="exact"/>
              <w:rPr>
                <w:rFonts w:ascii="Arial" w:hAnsi="Arial"/>
                <w:sz w:val="22"/>
                <w:szCs w:val="22"/>
              </w:rPr>
            </w:pPr>
            <w:r w:rsidRPr="00C86C64">
              <w:rPr>
                <w:rFonts w:ascii="Arial" w:hAnsi="Arial"/>
                <w:b/>
                <w:sz w:val="22"/>
                <w:szCs w:val="22"/>
              </w:rPr>
              <w:t>HEJDUK CZ s.r.o.</w:t>
            </w:r>
          </w:p>
        </w:tc>
      </w:tr>
      <w:tr w:rsidR="002C71D6" w:rsidRPr="001E159F" w:rsidTr="002C71D6">
        <w:trPr>
          <w:gridBefore w:val="1"/>
          <w:wBefore w:w="1738" w:type="dxa"/>
        </w:trPr>
        <w:tc>
          <w:tcPr>
            <w:tcW w:w="2798" w:type="dxa"/>
            <w:shd w:val="clear" w:color="auto" w:fill="auto"/>
          </w:tcPr>
          <w:p w:rsidR="002C71D6" w:rsidRPr="00C86C64" w:rsidRDefault="002C71D6" w:rsidP="002C71D6">
            <w:pPr>
              <w:numPr>
                <w:ilvl w:val="12"/>
                <w:numId w:val="0"/>
              </w:numPr>
              <w:spacing w:line="320" w:lineRule="exact"/>
              <w:rPr>
                <w:rFonts w:ascii="Arial" w:hAnsi="Arial"/>
                <w:sz w:val="22"/>
                <w:szCs w:val="22"/>
              </w:rPr>
            </w:pPr>
            <w:bookmarkStart w:id="0" w:name="_GoBack"/>
            <w:r w:rsidRPr="00C86C64">
              <w:rPr>
                <w:rFonts w:ascii="Arial" w:hAnsi="Arial"/>
                <w:sz w:val="22"/>
                <w:szCs w:val="22"/>
              </w:rPr>
              <w:t>Sídlo - adresa:</w:t>
            </w:r>
          </w:p>
        </w:tc>
        <w:tc>
          <w:tcPr>
            <w:tcW w:w="4820" w:type="dxa"/>
            <w:shd w:val="clear" w:color="auto" w:fill="auto"/>
          </w:tcPr>
          <w:p w:rsidR="002C71D6" w:rsidRPr="00C86C64" w:rsidRDefault="00C86C64" w:rsidP="00C86C64">
            <w:pPr>
              <w:numPr>
                <w:ilvl w:val="12"/>
                <w:numId w:val="0"/>
              </w:numPr>
              <w:spacing w:line="320" w:lineRule="exact"/>
              <w:rPr>
                <w:rFonts w:ascii="Arial" w:hAnsi="Arial"/>
                <w:sz w:val="22"/>
                <w:szCs w:val="22"/>
              </w:rPr>
            </w:pPr>
            <w:r>
              <w:rPr>
                <w:rFonts w:ascii="Arial" w:hAnsi="Arial"/>
                <w:sz w:val="22"/>
                <w:szCs w:val="22"/>
              </w:rPr>
              <w:t>náměstí Míru 108/28, 568 02 Svitavy</w:t>
            </w:r>
          </w:p>
        </w:tc>
      </w:tr>
      <w:bookmarkEnd w:id="0"/>
      <w:tr w:rsidR="002C71D6" w:rsidRPr="00941488" w:rsidTr="002C71D6">
        <w:trPr>
          <w:gridBefore w:val="1"/>
          <w:wBefore w:w="1738" w:type="dxa"/>
        </w:trPr>
        <w:tc>
          <w:tcPr>
            <w:tcW w:w="2798" w:type="dxa"/>
            <w:shd w:val="clear" w:color="auto" w:fill="auto"/>
          </w:tcPr>
          <w:p w:rsidR="002C71D6" w:rsidRPr="00C86C64" w:rsidRDefault="002C71D6" w:rsidP="002C71D6">
            <w:pPr>
              <w:numPr>
                <w:ilvl w:val="12"/>
                <w:numId w:val="0"/>
              </w:numPr>
              <w:spacing w:line="320" w:lineRule="exact"/>
              <w:rPr>
                <w:rFonts w:ascii="Arial" w:hAnsi="Arial"/>
                <w:sz w:val="22"/>
                <w:szCs w:val="22"/>
              </w:rPr>
            </w:pPr>
            <w:r w:rsidRPr="00C86C64">
              <w:rPr>
                <w:rFonts w:ascii="Arial" w:hAnsi="Arial"/>
                <w:sz w:val="22"/>
                <w:szCs w:val="22"/>
              </w:rPr>
              <w:t>Zastoupen:</w:t>
            </w:r>
          </w:p>
        </w:tc>
        <w:tc>
          <w:tcPr>
            <w:tcW w:w="4820" w:type="dxa"/>
            <w:shd w:val="clear" w:color="auto" w:fill="auto"/>
          </w:tcPr>
          <w:p w:rsidR="002C71D6" w:rsidRPr="00C86C64" w:rsidRDefault="00C86C64" w:rsidP="002C71D6">
            <w:pPr>
              <w:numPr>
                <w:ilvl w:val="12"/>
                <w:numId w:val="0"/>
              </w:numPr>
              <w:spacing w:line="320" w:lineRule="exact"/>
              <w:rPr>
                <w:rFonts w:ascii="Arial" w:hAnsi="Arial"/>
                <w:sz w:val="22"/>
                <w:szCs w:val="22"/>
              </w:rPr>
            </w:pPr>
            <w:proofErr w:type="spellStart"/>
            <w:proofErr w:type="gramStart"/>
            <w:r>
              <w:rPr>
                <w:rFonts w:ascii="Arial" w:hAnsi="Arial"/>
                <w:sz w:val="22"/>
                <w:szCs w:val="22"/>
              </w:rPr>
              <w:t>Ing.Ivo</w:t>
            </w:r>
            <w:proofErr w:type="spellEnd"/>
            <w:proofErr w:type="gramEnd"/>
            <w:r>
              <w:rPr>
                <w:rFonts w:ascii="Arial" w:hAnsi="Arial"/>
                <w:sz w:val="22"/>
                <w:szCs w:val="22"/>
              </w:rPr>
              <w:t xml:space="preserve"> Hejduk, jednatel</w:t>
            </w:r>
          </w:p>
        </w:tc>
      </w:tr>
      <w:tr w:rsidR="00C86C64" w:rsidRPr="00941488" w:rsidTr="0096056A">
        <w:trPr>
          <w:gridBefore w:val="1"/>
          <w:wBefore w:w="1738" w:type="dxa"/>
          <w:trHeight w:val="512"/>
        </w:trPr>
        <w:tc>
          <w:tcPr>
            <w:tcW w:w="2798" w:type="dxa"/>
            <w:shd w:val="clear" w:color="auto" w:fill="auto"/>
            <w:vAlign w:val="center"/>
          </w:tcPr>
          <w:p w:rsidR="00C86C64" w:rsidRPr="00C86C64" w:rsidRDefault="00C86C64" w:rsidP="002C71D6">
            <w:pPr>
              <w:numPr>
                <w:ilvl w:val="12"/>
                <w:numId w:val="0"/>
              </w:numPr>
              <w:spacing w:line="240" w:lineRule="exact"/>
              <w:rPr>
                <w:rFonts w:ascii="Arial" w:hAnsi="Arial"/>
                <w:sz w:val="22"/>
                <w:szCs w:val="22"/>
              </w:rPr>
            </w:pPr>
            <w:r w:rsidRPr="00C86C64">
              <w:rPr>
                <w:rFonts w:ascii="Arial" w:hAnsi="Arial"/>
                <w:sz w:val="22"/>
                <w:szCs w:val="22"/>
              </w:rPr>
              <w:t>Osoby oprávněné jednat ve věcech technických:</w:t>
            </w:r>
          </w:p>
        </w:tc>
        <w:tc>
          <w:tcPr>
            <w:tcW w:w="4820" w:type="dxa"/>
            <w:shd w:val="clear" w:color="auto" w:fill="auto"/>
          </w:tcPr>
          <w:p w:rsidR="00C86C64" w:rsidRPr="00C86C64" w:rsidRDefault="00C86C64" w:rsidP="006F50F7">
            <w:pPr>
              <w:numPr>
                <w:ilvl w:val="12"/>
                <w:numId w:val="0"/>
              </w:numPr>
              <w:spacing w:line="320" w:lineRule="exact"/>
              <w:rPr>
                <w:rFonts w:ascii="Arial" w:hAnsi="Arial"/>
                <w:sz w:val="22"/>
                <w:szCs w:val="22"/>
              </w:rPr>
            </w:pPr>
            <w:proofErr w:type="spellStart"/>
            <w:proofErr w:type="gramStart"/>
            <w:r>
              <w:rPr>
                <w:rFonts w:ascii="Arial" w:hAnsi="Arial"/>
                <w:sz w:val="22"/>
                <w:szCs w:val="22"/>
              </w:rPr>
              <w:t>Ing.Ivo</w:t>
            </w:r>
            <w:proofErr w:type="spellEnd"/>
            <w:proofErr w:type="gramEnd"/>
            <w:r>
              <w:rPr>
                <w:rFonts w:ascii="Arial" w:hAnsi="Arial"/>
                <w:sz w:val="22"/>
                <w:szCs w:val="22"/>
              </w:rPr>
              <w:t xml:space="preserve"> Hejduk, jednatel</w:t>
            </w:r>
          </w:p>
        </w:tc>
      </w:tr>
      <w:tr w:rsidR="00C86C64" w:rsidRPr="00941488" w:rsidTr="002C71D6">
        <w:trPr>
          <w:gridBefore w:val="1"/>
          <w:wBefore w:w="1738" w:type="dxa"/>
        </w:trPr>
        <w:tc>
          <w:tcPr>
            <w:tcW w:w="2798" w:type="dxa"/>
            <w:shd w:val="clear" w:color="auto" w:fill="auto"/>
          </w:tcPr>
          <w:p w:rsidR="00C86C64" w:rsidRPr="00C86C64" w:rsidRDefault="00C86C64" w:rsidP="002C71D6">
            <w:pPr>
              <w:numPr>
                <w:ilvl w:val="12"/>
                <w:numId w:val="0"/>
              </w:numPr>
              <w:spacing w:line="320" w:lineRule="exact"/>
              <w:rPr>
                <w:rFonts w:ascii="Arial" w:hAnsi="Arial"/>
                <w:sz w:val="22"/>
                <w:szCs w:val="22"/>
              </w:rPr>
            </w:pPr>
            <w:r w:rsidRPr="00C86C64">
              <w:rPr>
                <w:rFonts w:ascii="Arial" w:hAnsi="Arial"/>
                <w:sz w:val="22"/>
                <w:szCs w:val="22"/>
              </w:rPr>
              <w:t>IČ:</w:t>
            </w:r>
          </w:p>
        </w:tc>
        <w:tc>
          <w:tcPr>
            <w:tcW w:w="4820" w:type="dxa"/>
            <w:shd w:val="clear" w:color="auto" w:fill="auto"/>
            <w:vAlign w:val="center"/>
          </w:tcPr>
          <w:p w:rsidR="00C86C64" w:rsidRPr="00C86C64" w:rsidRDefault="00C86C64" w:rsidP="00C86C64">
            <w:pPr>
              <w:rPr>
                <w:rFonts w:ascii="Arial" w:hAnsi="Arial"/>
                <w:sz w:val="22"/>
                <w:szCs w:val="22"/>
              </w:rPr>
            </w:pPr>
            <w:r>
              <w:rPr>
                <w:rFonts w:ascii="Arial" w:hAnsi="Arial"/>
                <w:sz w:val="22"/>
                <w:szCs w:val="22"/>
              </w:rPr>
              <w:t>63220491</w:t>
            </w:r>
          </w:p>
        </w:tc>
      </w:tr>
      <w:tr w:rsidR="00C86C64" w:rsidRPr="00941488" w:rsidTr="002C71D6">
        <w:trPr>
          <w:gridBefore w:val="1"/>
          <w:wBefore w:w="1738" w:type="dxa"/>
        </w:trPr>
        <w:tc>
          <w:tcPr>
            <w:tcW w:w="2798" w:type="dxa"/>
            <w:shd w:val="clear" w:color="auto" w:fill="auto"/>
          </w:tcPr>
          <w:p w:rsidR="00C86C64" w:rsidRPr="00C86C64" w:rsidRDefault="00C86C64" w:rsidP="002C71D6">
            <w:pPr>
              <w:numPr>
                <w:ilvl w:val="12"/>
                <w:numId w:val="0"/>
              </w:numPr>
              <w:spacing w:line="320" w:lineRule="exact"/>
              <w:rPr>
                <w:rFonts w:ascii="Arial" w:hAnsi="Arial"/>
                <w:sz w:val="22"/>
                <w:szCs w:val="22"/>
              </w:rPr>
            </w:pPr>
            <w:r w:rsidRPr="00C86C64">
              <w:rPr>
                <w:rFonts w:ascii="Arial" w:hAnsi="Arial"/>
                <w:sz w:val="22"/>
                <w:szCs w:val="22"/>
              </w:rPr>
              <w:t>DIČ:</w:t>
            </w:r>
          </w:p>
        </w:tc>
        <w:tc>
          <w:tcPr>
            <w:tcW w:w="4820" w:type="dxa"/>
            <w:shd w:val="clear" w:color="auto" w:fill="auto"/>
            <w:vAlign w:val="center"/>
          </w:tcPr>
          <w:p w:rsidR="00C86C64" w:rsidRPr="00C86C64" w:rsidRDefault="00C86C64" w:rsidP="00C86C64">
            <w:pPr>
              <w:rPr>
                <w:sz w:val="22"/>
                <w:szCs w:val="22"/>
              </w:rPr>
            </w:pPr>
            <w:r>
              <w:rPr>
                <w:rFonts w:ascii="Arial" w:hAnsi="Arial"/>
                <w:sz w:val="22"/>
                <w:szCs w:val="22"/>
              </w:rPr>
              <w:t>CZ63220491</w:t>
            </w:r>
          </w:p>
        </w:tc>
      </w:tr>
      <w:tr w:rsidR="00C86C64" w:rsidRPr="00941488" w:rsidTr="002C71D6">
        <w:trPr>
          <w:gridBefore w:val="1"/>
          <w:wBefore w:w="1738" w:type="dxa"/>
        </w:trPr>
        <w:tc>
          <w:tcPr>
            <w:tcW w:w="2798" w:type="dxa"/>
            <w:shd w:val="clear" w:color="auto" w:fill="auto"/>
          </w:tcPr>
          <w:p w:rsidR="00C86C64" w:rsidRPr="00C86C64" w:rsidRDefault="00C86C64" w:rsidP="002C71D6">
            <w:pPr>
              <w:numPr>
                <w:ilvl w:val="12"/>
                <w:numId w:val="0"/>
              </w:numPr>
              <w:spacing w:line="320" w:lineRule="exact"/>
              <w:rPr>
                <w:rFonts w:ascii="Arial" w:hAnsi="Arial"/>
                <w:sz w:val="22"/>
                <w:szCs w:val="22"/>
              </w:rPr>
            </w:pPr>
            <w:r w:rsidRPr="00C86C64">
              <w:rPr>
                <w:rFonts w:ascii="Arial" w:hAnsi="Arial"/>
                <w:sz w:val="22"/>
                <w:szCs w:val="22"/>
              </w:rPr>
              <w:t>Bankovní spojení:</w:t>
            </w:r>
          </w:p>
        </w:tc>
        <w:tc>
          <w:tcPr>
            <w:tcW w:w="4820" w:type="dxa"/>
            <w:shd w:val="clear" w:color="auto" w:fill="auto"/>
          </w:tcPr>
          <w:p w:rsidR="00C86C64" w:rsidRPr="00C86C64" w:rsidRDefault="00C86C64" w:rsidP="00C86C64">
            <w:pPr>
              <w:numPr>
                <w:ilvl w:val="12"/>
                <w:numId w:val="0"/>
              </w:numPr>
              <w:spacing w:line="320" w:lineRule="exact"/>
              <w:jc w:val="both"/>
              <w:rPr>
                <w:rFonts w:ascii="Arial" w:hAnsi="Arial"/>
                <w:sz w:val="22"/>
                <w:szCs w:val="22"/>
              </w:rPr>
            </w:pPr>
          </w:p>
        </w:tc>
      </w:tr>
      <w:tr w:rsidR="00C86C64" w:rsidRPr="00941488" w:rsidTr="002C71D6">
        <w:trPr>
          <w:gridBefore w:val="1"/>
          <w:wBefore w:w="1738" w:type="dxa"/>
          <w:trHeight w:val="298"/>
        </w:trPr>
        <w:tc>
          <w:tcPr>
            <w:tcW w:w="2798" w:type="dxa"/>
            <w:shd w:val="clear" w:color="auto" w:fill="auto"/>
          </w:tcPr>
          <w:p w:rsidR="00C86C64" w:rsidRPr="00C86C64" w:rsidRDefault="00C86C64" w:rsidP="002C71D6">
            <w:pPr>
              <w:numPr>
                <w:ilvl w:val="12"/>
                <w:numId w:val="0"/>
              </w:numPr>
              <w:spacing w:line="320" w:lineRule="exact"/>
              <w:rPr>
                <w:rFonts w:ascii="Arial" w:hAnsi="Arial"/>
                <w:sz w:val="22"/>
                <w:szCs w:val="22"/>
              </w:rPr>
            </w:pPr>
            <w:proofErr w:type="spellStart"/>
            <w:proofErr w:type="gramStart"/>
            <w:r w:rsidRPr="00C86C64">
              <w:rPr>
                <w:rFonts w:ascii="Arial" w:hAnsi="Arial"/>
                <w:sz w:val="22"/>
                <w:szCs w:val="22"/>
              </w:rPr>
              <w:t>č.ú</w:t>
            </w:r>
            <w:proofErr w:type="spellEnd"/>
            <w:r w:rsidRPr="00C86C64">
              <w:rPr>
                <w:rFonts w:ascii="Arial" w:hAnsi="Arial"/>
                <w:sz w:val="22"/>
                <w:szCs w:val="22"/>
              </w:rPr>
              <w:t>.:</w:t>
            </w:r>
            <w:proofErr w:type="gramEnd"/>
          </w:p>
        </w:tc>
        <w:tc>
          <w:tcPr>
            <w:tcW w:w="4820" w:type="dxa"/>
            <w:shd w:val="clear" w:color="auto" w:fill="auto"/>
          </w:tcPr>
          <w:p w:rsidR="00C86C64" w:rsidRPr="00C86C64" w:rsidRDefault="00C86C64" w:rsidP="002C71D6">
            <w:pPr>
              <w:numPr>
                <w:ilvl w:val="12"/>
                <w:numId w:val="0"/>
              </w:numPr>
              <w:spacing w:line="320" w:lineRule="exact"/>
              <w:jc w:val="both"/>
              <w:rPr>
                <w:rFonts w:ascii="Arial" w:hAnsi="Arial"/>
                <w:sz w:val="22"/>
                <w:szCs w:val="22"/>
              </w:rPr>
            </w:pPr>
          </w:p>
        </w:tc>
      </w:tr>
      <w:tr w:rsidR="00C86C64" w:rsidRPr="00941488" w:rsidTr="002C71D6">
        <w:trPr>
          <w:gridBefore w:val="1"/>
          <w:wBefore w:w="1738" w:type="dxa"/>
          <w:trHeight w:val="297"/>
        </w:trPr>
        <w:tc>
          <w:tcPr>
            <w:tcW w:w="2798" w:type="dxa"/>
            <w:shd w:val="clear" w:color="auto" w:fill="auto"/>
          </w:tcPr>
          <w:p w:rsidR="00C86C64" w:rsidRPr="00C86C64" w:rsidRDefault="00C86C64" w:rsidP="00CE69E6">
            <w:pPr>
              <w:numPr>
                <w:ilvl w:val="12"/>
                <w:numId w:val="0"/>
              </w:numPr>
              <w:spacing w:line="320" w:lineRule="exact"/>
              <w:rPr>
                <w:rFonts w:ascii="Arial" w:hAnsi="Arial"/>
                <w:sz w:val="22"/>
                <w:szCs w:val="22"/>
                <w:highlight w:val="yellow"/>
              </w:rPr>
            </w:pPr>
          </w:p>
        </w:tc>
        <w:tc>
          <w:tcPr>
            <w:tcW w:w="4820" w:type="dxa"/>
            <w:shd w:val="clear" w:color="auto" w:fill="auto"/>
          </w:tcPr>
          <w:p w:rsidR="00C86C64" w:rsidRPr="00C86C64" w:rsidRDefault="00C86C64" w:rsidP="00241AD8">
            <w:pPr>
              <w:numPr>
                <w:ilvl w:val="12"/>
                <w:numId w:val="0"/>
              </w:numPr>
              <w:spacing w:line="320" w:lineRule="exact"/>
              <w:jc w:val="both"/>
              <w:rPr>
                <w:rFonts w:ascii="Arial" w:hAnsi="Arial"/>
                <w:sz w:val="22"/>
                <w:szCs w:val="22"/>
              </w:rPr>
            </w:pPr>
          </w:p>
        </w:tc>
      </w:tr>
    </w:tbl>
    <w:p w:rsidR="002C71D6" w:rsidRDefault="002C71D6" w:rsidP="002C71D6">
      <w:pPr>
        <w:pStyle w:val="Nadpis1"/>
        <w:spacing w:before="0" w:after="0"/>
        <w:rPr>
          <w:rFonts w:cs="Arial"/>
          <w:b w:val="0"/>
          <w:sz w:val="22"/>
          <w:szCs w:val="22"/>
        </w:rPr>
      </w:pPr>
    </w:p>
    <w:p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rsidR="00C86CF0" w:rsidRDefault="00C86CF0" w:rsidP="00C7555E">
      <w:pPr>
        <w:rPr>
          <w:rFonts w:ascii="Arial" w:hAnsi="Arial" w:cs="Arial"/>
          <w:sz w:val="22"/>
          <w:szCs w:val="22"/>
        </w:rPr>
      </w:pPr>
    </w:p>
    <w:p w:rsidR="00241AD8" w:rsidRDefault="00241AD8" w:rsidP="00C7555E">
      <w:pPr>
        <w:rPr>
          <w:rFonts w:ascii="Arial" w:hAnsi="Arial" w:cs="Arial"/>
          <w:sz w:val="22"/>
          <w:szCs w:val="22"/>
        </w:rPr>
      </w:pPr>
    </w:p>
    <w:p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rsidR="001F544C" w:rsidRDefault="00C7555E" w:rsidP="00062947">
      <w:pPr>
        <w:numPr>
          <w:ilvl w:val="0"/>
          <w:numId w:val="1"/>
        </w:numPr>
        <w:spacing w:after="120"/>
        <w:jc w:val="both"/>
        <w:rPr>
          <w:rFonts w:ascii="Arial" w:hAnsi="Arial" w:cs="Arial"/>
          <w:sz w:val="22"/>
          <w:szCs w:val="22"/>
        </w:rPr>
      </w:pPr>
      <w:r w:rsidRPr="001F544C">
        <w:rPr>
          <w:rFonts w:ascii="Arial" w:hAnsi="Arial" w:cs="Arial"/>
          <w:sz w:val="22"/>
          <w:szCs w:val="22"/>
        </w:rPr>
        <w:t xml:space="preserve">Předmětem plnění dle této smlouvy je komplexní zajištění </w:t>
      </w:r>
      <w:r w:rsidR="003A6E3B" w:rsidRPr="001F544C">
        <w:rPr>
          <w:rFonts w:ascii="Arial" w:hAnsi="Arial" w:cs="Arial"/>
          <w:sz w:val="22"/>
          <w:szCs w:val="22"/>
        </w:rPr>
        <w:t xml:space="preserve">služeb </w:t>
      </w:r>
      <w:r w:rsidRPr="001F544C">
        <w:rPr>
          <w:rFonts w:ascii="Arial" w:hAnsi="Arial" w:cs="Arial"/>
          <w:sz w:val="22"/>
          <w:szCs w:val="22"/>
        </w:rPr>
        <w:t xml:space="preserve">technického dozoru investora v průběhu realizace stavby </w:t>
      </w:r>
      <w:r w:rsidR="00150E8B" w:rsidRPr="001F544C">
        <w:rPr>
          <w:rFonts w:ascii="Arial" w:hAnsi="Arial" w:cs="Arial"/>
          <w:sz w:val="22"/>
          <w:szCs w:val="22"/>
        </w:rPr>
        <w:t>„</w:t>
      </w:r>
      <w:r w:rsidR="00103D36" w:rsidRPr="00103D36">
        <w:rPr>
          <w:rFonts w:ascii="Arial" w:hAnsi="Arial" w:cs="Arial"/>
          <w:b/>
          <w:sz w:val="22"/>
          <w:szCs w:val="22"/>
        </w:rPr>
        <w:t>Odborný léčebný ústav Jevíčko, rekonstrukce lůžkové části</w:t>
      </w:r>
      <w:r w:rsidR="00150E8B" w:rsidRPr="001F544C">
        <w:rPr>
          <w:rFonts w:ascii="Arial" w:hAnsi="Arial" w:cs="Arial"/>
          <w:sz w:val="22"/>
          <w:szCs w:val="22"/>
        </w:rPr>
        <w:t>“</w:t>
      </w:r>
      <w:r w:rsidR="000115C6" w:rsidRPr="001F544C">
        <w:rPr>
          <w:rFonts w:ascii="Arial" w:hAnsi="Arial" w:cs="Arial"/>
          <w:sz w:val="22"/>
          <w:szCs w:val="22"/>
        </w:rPr>
        <w:t xml:space="preserve"> a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r w:rsidR="001F544C" w:rsidRPr="00C611FF">
        <w:rPr>
          <w:rFonts w:ascii="Arial" w:hAnsi="Arial" w:cs="Arial"/>
          <w:sz w:val="22"/>
          <w:szCs w:val="22"/>
        </w:rPr>
        <w:t>Poskytovatel bere na vědomí, že služby podle této smlouvy jsou poskytovány v rámci projektu spolufinancovaného</w:t>
      </w:r>
      <w:r w:rsidR="001F544C">
        <w:rPr>
          <w:rFonts w:ascii="Arial" w:hAnsi="Arial" w:cs="Arial"/>
          <w:sz w:val="22"/>
          <w:szCs w:val="22"/>
        </w:rPr>
        <w:t xml:space="preserve"> z </w:t>
      </w:r>
      <w:r w:rsidR="001F544C" w:rsidRPr="005D6FC5">
        <w:rPr>
          <w:rFonts w:ascii="Arial" w:hAnsi="Arial" w:cs="Arial"/>
          <w:sz w:val="22"/>
          <w:szCs w:val="22"/>
        </w:rPr>
        <w:t>Integrovaného regionálního operačního programu</w:t>
      </w:r>
      <w:r w:rsidR="001F544C">
        <w:rPr>
          <w:rFonts w:ascii="Arial" w:hAnsi="Arial" w:cs="Arial"/>
          <w:sz w:val="22"/>
          <w:szCs w:val="22"/>
        </w:rPr>
        <w:t xml:space="preserve"> (IROP). </w:t>
      </w:r>
      <w:r w:rsidR="001F544C" w:rsidRPr="00C611FF">
        <w:rPr>
          <w:rFonts w:ascii="Arial" w:hAnsi="Arial" w:cs="Arial"/>
          <w:sz w:val="22"/>
          <w:szCs w:val="22"/>
        </w:rPr>
        <w:t>Specifické povinnosti vyplývající z tohoto zařazení a odkaz na kompletní podmínky příslušného operačního programu jsou uvedeny v příloze č. 1</w:t>
      </w:r>
      <w:r w:rsidR="001F544C">
        <w:rPr>
          <w:rFonts w:ascii="Arial" w:hAnsi="Arial" w:cs="Arial"/>
          <w:sz w:val="22"/>
          <w:szCs w:val="22"/>
        </w:rPr>
        <w:t>.</w:t>
      </w:r>
      <w:r w:rsidR="001F544C" w:rsidRPr="00C611FF">
        <w:rPr>
          <w:rFonts w:ascii="Arial" w:hAnsi="Arial" w:cs="Arial"/>
          <w:sz w:val="22"/>
          <w:szCs w:val="22"/>
        </w:rPr>
        <w:t xml:space="preserve"> této smlouvy.</w:t>
      </w:r>
    </w:p>
    <w:p w:rsidR="00241AD8" w:rsidRPr="001F544C" w:rsidRDefault="00241AD8" w:rsidP="00B22F3A">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 xml:space="preserve">Stavba, pro kterou jsou služby technického dozoru investora touto smlouvou sjednávány, bude prováděna v předpokládaném termínu </w:t>
      </w:r>
      <w:r w:rsidRPr="004D6008">
        <w:rPr>
          <w:rFonts w:ascii="Arial" w:hAnsi="Arial" w:cs="Arial"/>
          <w:sz w:val="22"/>
          <w:szCs w:val="22"/>
        </w:rPr>
        <w:t xml:space="preserve">od </w:t>
      </w:r>
      <w:r w:rsidR="00243BD5">
        <w:rPr>
          <w:rFonts w:ascii="Arial" w:hAnsi="Arial" w:cs="Arial"/>
          <w:sz w:val="22"/>
          <w:szCs w:val="22"/>
        </w:rPr>
        <w:t>2</w:t>
      </w:r>
      <w:r w:rsidR="00103D36">
        <w:rPr>
          <w:rFonts w:ascii="Arial" w:hAnsi="Arial" w:cs="Arial"/>
          <w:sz w:val="22"/>
          <w:szCs w:val="22"/>
        </w:rPr>
        <w:t>6</w:t>
      </w:r>
      <w:r w:rsidR="00085DFF">
        <w:rPr>
          <w:rFonts w:ascii="Arial" w:hAnsi="Arial" w:cs="Arial"/>
          <w:sz w:val="22"/>
          <w:szCs w:val="22"/>
        </w:rPr>
        <w:t xml:space="preserve">. </w:t>
      </w:r>
      <w:r w:rsidR="00103D36">
        <w:rPr>
          <w:rFonts w:ascii="Arial" w:hAnsi="Arial" w:cs="Arial"/>
          <w:sz w:val="22"/>
          <w:szCs w:val="22"/>
        </w:rPr>
        <w:t>8</w:t>
      </w:r>
      <w:r w:rsidR="001F544C" w:rsidRPr="004D6008">
        <w:rPr>
          <w:rFonts w:ascii="Arial" w:hAnsi="Arial" w:cs="Arial"/>
          <w:sz w:val="22"/>
          <w:szCs w:val="22"/>
        </w:rPr>
        <w:t>. 2021</w:t>
      </w:r>
      <w:r w:rsidRPr="004D6008">
        <w:rPr>
          <w:rFonts w:ascii="Arial" w:hAnsi="Arial" w:cs="Arial"/>
          <w:sz w:val="22"/>
          <w:szCs w:val="22"/>
        </w:rPr>
        <w:t xml:space="preserve"> </w:t>
      </w:r>
      <w:r w:rsidRPr="00A64981">
        <w:rPr>
          <w:rFonts w:ascii="Arial" w:hAnsi="Arial" w:cs="Arial"/>
          <w:sz w:val="22"/>
          <w:szCs w:val="22"/>
        </w:rPr>
        <w:t xml:space="preserve">do </w:t>
      </w:r>
      <w:r w:rsidR="00103D36">
        <w:rPr>
          <w:rFonts w:ascii="Arial" w:hAnsi="Arial" w:cs="Arial"/>
          <w:sz w:val="22"/>
          <w:szCs w:val="22"/>
        </w:rPr>
        <w:t>16</w:t>
      </w:r>
      <w:r w:rsidR="001F544C" w:rsidRPr="00A64981">
        <w:rPr>
          <w:rFonts w:ascii="Arial" w:hAnsi="Arial" w:cs="Arial"/>
          <w:sz w:val="22"/>
          <w:szCs w:val="22"/>
        </w:rPr>
        <w:t xml:space="preserve">. </w:t>
      </w:r>
      <w:r w:rsidR="00103D36">
        <w:rPr>
          <w:rFonts w:ascii="Arial" w:hAnsi="Arial" w:cs="Arial"/>
          <w:sz w:val="22"/>
          <w:szCs w:val="22"/>
        </w:rPr>
        <w:t>10</w:t>
      </w:r>
      <w:r w:rsidR="00A94F58" w:rsidRPr="00A64981">
        <w:rPr>
          <w:rFonts w:ascii="Arial" w:hAnsi="Arial" w:cs="Arial"/>
          <w:sz w:val="22"/>
          <w:szCs w:val="22"/>
        </w:rPr>
        <w:t>. 202</w:t>
      </w:r>
      <w:r w:rsidR="00103D36">
        <w:rPr>
          <w:rFonts w:ascii="Arial" w:hAnsi="Arial" w:cs="Arial"/>
          <w:sz w:val="22"/>
          <w:szCs w:val="22"/>
        </w:rPr>
        <w:t>3</w:t>
      </w:r>
      <w:r w:rsidRPr="00A64981">
        <w:rPr>
          <w:rFonts w:ascii="Arial" w:hAnsi="Arial" w:cs="Arial"/>
          <w:sz w:val="22"/>
          <w:szCs w:val="22"/>
        </w:rPr>
        <w:t xml:space="preserve"> podle</w:t>
      </w:r>
      <w:r w:rsidRPr="001F544C">
        <w:rPr>
          <w:rFonts w:ascii="Arial" w:hAnsi="Arial" w:cs="Arial"/>
          <w:sz w:val="22"/>
          <w:szCs w:val="22"/>
        </w:rPr>
        <w:t xml:space="preserve"> projektové dokumentace dostupné na objednatelově profilu zadavatele (</w:t>
      </w:r>
      <w:hyperlink r:id="rId9" w:history="1">
        <w:r w:rsidRPr="001F544C">
          <w:rPr>
            <w:rStyle w:val="Hypertextovodkaz"/>
            <w:rFonts w:ascii="Arial" w:hAnsi="Arial" w:cs="Arial"/>
            <w:sz w:val="22"/>
            <w:szCs w:val="22"/>
          </w:rPr>
          <w:t>https://zakazky.pardubickykraj.cz/</w:t>
        </w:r>
      </w:hyperlink>
      <w:r w:rsidRPr="001F544C">
        <w:rPr>
          <w:rFonts w:ascii="Arial" w:hAnsi="Arial" w:cs="Arial"/>
          <w:sz w:val="22"/>
          <w:szCs w:val="22"/>
        </w:rPr>
        <w:t>) v rámci podkladů pro zadávací řízení na zhotovitele stavby.</w:t>
      </w:r>
    </w:p>
    <w:p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rsidR="00E30850" w:rsidRPr="00241AD8" w:rsidRDefault="00E30850" w:rsidP="00E30850">
      <w:pPr>
        <w:spacing w:after="120"/>
        <w:jc w:val="both"/>
        <w:rPr>
          <w:rFonts w:ascii="Arial" w:hAnsi="Arial" w:cs="Arial"/>
          <w:sz w:val="22"/>
          <w:szCs w:val="22"/>
        </w:rPr>
      </w:pPr>
    </w:p>
    <w:p w:rsidR="00C7555E" w:rsidRPr="007548F4" w:rsidRDefault="00C7555E" w:rsidP="001F2C00">
      <w:pPr>
        <w:pStyle w:val="Nadpis1"/>
        <w:spacing w:before="0" w:after="0"/>
        <w:jc w:val="center"/>
        <w:rPr>
          <w:rFonts w:cs="Arial"/>
          <w:sz w:val="24"/>
          <w:szCs w:val="24"/>
        </w:rPr>
      </w:pPr>
      <w:r w:rsidRPr="007548F4">
        <w:rPr>
          <w:rFonts w:cs="Arial"/>
          <w:sz w:val="24"/>
          <w:szCs w:val="24"/>
        </w:rPr>
        <w:lastRenderedPageBreak/>
        <w:t>Článek II.</w:t>
      </w:r>
    </w:p>
    <w:p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technický dozor nad prováděním prací</w:t>
      </w:r>
      <w:r w:rsidR="00C979E8">
        <w:rPr>
          <w:rFonts w:ascii="Arial" w:hAnsi="Arial" w:cs="Arial"/>
          <w:sz w:val="22"/>
          <w:szCs w:val="22"/>
        </w:rPr>
        <w:t xml:space="preserve"> investiční akce </w:t>
      </w:r>
      <w:r w:rsidR="00C979E8" w:rsidRPr="00711545">
        <w:rPr>
          <w:rFonts w:ascii="Arial" w:hAnsi="Arial" w:cs="Arial"/>
          <w:sz w:val="22"/>
          <w:szCs w:val="22"/>
        </w:rPr>
        <w:t>„</w:t>
      </w:r>
      <w:r w:rsidR="00103D36" w:rsidRPr="00103D36">
        <w:rPr>
          <w:rFonts w:ascii="Arial" w:hAnsi="Arial" w:cs="Arial"/>
          <w:b/>
          <w:sz w:val="22"/>
          <w:szCs w:val="22"/>
        </w:rPr>
        <w:t>Odborný léčebný ústav Jevíčko, rekonstrukce lůžkové části</w:t>
      </w:r>
      <w:r w:rsidR="00C979E8" w:rsidRPr="00711545">
        <w:rPr>
          <w:rFonts w:ascii="Arial" w:hAnsi="Arial" w:cs="Arial"/>
          <w:sz w:val="22"/>
          <w:szCs w:val="22"/>
        </w:rPr>
        <w:t>“</w:t>
      </w:r>
      <w:r w:rsidR="00C979E8">
        <w:rPr>
          <w:rFonts w:ascii="Arial" w:hAnsi="Arial" w:cs="Arial"/>
          <w:sz w:val="22"/>
          <w:szCs w:val="22"/>
        </w:rPr>
        <w:t>, 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 xml:space="preserve">příslušnými povoleními stavby a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 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autory projektu, koordinovat požadavky autorských dozorů projektantů a zhotovitelů, koordinovat práce více zhotovitelů při so</w:t>
      </w:r>
      <w:r w:rsidR="004F43E2">
        <w:rPr>
          <w:rFonts w:ascii="Arial" w:hAnsi="Arial" w:cs="Arial"/>
          <w:sz w:val="22"/>
          <w:szCs w:val="22"/>
        </w:rPr>
        <w:t>uběhu prací;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nepřístupné a pořizovat zápisy o této </w:t>
      </w:r>
      <w:r w:rsidR="00703D0F">
        <w:rPr>
          <w:rFonts w:ascii="Arial" w:hAnsi="Arial" w:cs="Arial"/>
          <w:sz w:val="22"/>
          <w:szCs w:val="22"/>
        </w:rPr>
        <w:t>kontrole včetně fotodokumentace;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w:t>
      </w:r>
      <w:r w:rsidR="004F43E2">
        <w:rPr>
          <w:rFonts w:ascii="Arial" w:hAnsi="Arial" w:cs="Arial"/>
          <w:sz w:val="22"/>
          <w:szCs w:val="22"/>
        </w:rPr>
        <w:t xml:space="preserve"> a odsouhlasovat </w:t>
      </w:r>
      <w:r w:rsidRPr="007548F4">
        <w:rPr>
          <w:rFonts w:ascii="Arial" w:hAnsi="Arial" w:cs="Arial"/>
          <w:sz w:val="22"/>
          <w:szCs w:val="22"/>
        </w:rPr>
        <w:t xml:space="preserve">věcnou a cenovou správnost a úplnost oceňovacích podkladů a </w:t>
      </w:r>
      <w:r w:rsidRPr="004F43E2">
        <w:rPr>
          <w:rFonts w:ascii="Arial" w:hAnsi="Arial" w:cs="Arial"/>
          <w:sz w:val="22"/>
          <w:szCs w:val="22"/>
        </w:rPr>
        <w:t>faktur</w:t>
      </w:r>
      <w:r w:rsidR="004F43E2" w:rsidRPr="004F43E2">
        <w:rPr>
          <w:rFonts w:ascii="Arial" w:hAnsi="Arial" w:cs="Arial"/>
          <w:sz w:val="22"/>
          <w:szCs w:val="22"/>
        </w:rPr>
        <w:t xml:space="preserve"> </w:t>
      </w:r>
      <w:r w:rsidR="004F43E2">
        <w:rPr>
          <w:rFonts w:ascii="Arial" w:hAnsi="Arial" w:cs="Arial"/>
          <w:sz w:val="22"/>
          <w:szCs w:val="22"/>
        </w:rPr>
        <w:t xml:space="preserve">zhotovitele </w:t>
      </w:r>
      <w:r w:rsidR="004F43E2" w:rsidRPr="004F43E2">
        <w:rPr>
          <w:rFonts w:ascii="Arial" w:hAnsi="Arial" w:cs="Arial"/>
          <w:sz w:val="22"/>
          <w:szCs w:val="22"/>
        </w:rPr>
        <w:t>(soupisy prací a zjišťovací protokoly)</w:t>
      </w:r>
      <w:r w:rsidRPr="004F43E2">
        <w:rPr>
          <w:rFonts w:ascii="Arial" w:hAnsi="Arial" w:cs="Arial"/>
          <w:sz w:val="22"/>
          <w:szCs w:val="22"/>
        </w:rPr>
        <w:t>,</w:t>
      </w:r>
      <w:r w:rsidRPr="007548F4">
        <w:rPr>
          <w:rFonts w:ascii="Arial" w:hAnsi="Arial" w:cs="Arial"/>
          <w:sz w:val="22"/>
          <w:szCs w:val="22"/>
        </w:rPr>
        <w:t xml:space="preserve"> jejich soulad s podmínk</w:t>
      </w:r>
      <w:r w:rsidR="004F43E2">
        <w:rPr>
          <w:rFonts w:ascii="Arial" w:hAnsi="Arial" w:cs="Arial"/>
          <w:sz w:val="22"/>
          <w:szCs w:val="22"/>
        </w:rPr>
        <w:t xml:space="preserve">ami uvedenými ve smlouvě o dílo (zejm. </w:t>
      </w:r>
      <w:r w:rsidR="004F43E2" w:rsidRPr="007548F4">
        <w:rPr>
          <w:rFonts w:ascii="Arial" w:hAnsi="Arial" w:cs="Arial"/>
          <w:sz w:val="22"/>
          <w:szCs w:val="22"/>
        </w:rPr>
        <w:t xml:space="preserve">musí být důkladně prověřeny </w:t>
      </w:r>
      <w:r w:rsidRPr="007548F4">
        <w:rPr>
          <w:rFonts w:ascii="Arial" w:hAnsi="Arial" w:cs="Arial"/>
          <w:sz w:val="22"/>
          <w:szCs w:val="22"/>
        </w:rPr>
        <w:t>fakturované položky a nesmí být fakturovány položky, které nebyly dodány</w:t>
      </w:r>
      <w:r w:rsidR="004F43E2">
        <w:rPr>
          <w:rFonts w:ascii="Arial" w:hAnsi="Arial" w:cs="Arial"/>
          <w:sz w:val="22"/>
          <w:szCs w:val="22"/>
        </w:rPr>
        <w:t xml:space="preserve"> nebo provedeny),</w:t>
      </w:r>
      <w:r w:rsidRPr="007548F4">
        <w:rPr>
          <w:rFonts w:ascii="Arial" w:hAnsi="Arial" w:cs="Arial"/>
          <w:sz w:val="22"/>
          <w:szCs w:val="22"/>
        </w:rPr>
        <w:t xml:space="preserve"> dále zajišťuje jejich př</w:t>
      </w:r>
      <w:r w:rsidR="004F43E2">
        <w:rPr>
          <w:rFonts w:ascii="Arial" w:hAnsi="Arial" w:cs="Arial"/>
          <w:sz w:val="22"/>
          <w:szCs w:val="22"/>
        </w:rPr>
        <w:t>edání objednateli k proplacení;</w:t>
      </w:r>
    </w:p>
    <w:p w:rsidR="00C7555E" w:rsidRPr="007548F4" w:rsidRDefault="00114394" w:rsidP="00CC70ED">
      <w:pPr>
        <w:numPr>
          <w:ilvl w:val="0"/>
          <w:numId w:val="2"/>
        </w:numPr>
        <w:spacing w:after="60"/>
        <w:ind w:left="426" w:hanging="426"/>
        <w:jc w:val="both"/>
        <w:rPr>
          <w:rFonts w:ascii="Arial" w:hAnsi="Arial" w:cs="Arial"/>
          <w:sz w:val="22"/>
          <w:szCs w:val="22"/>
        </w:rPr>
      </w:pPr>
      <w:r>
        <w:rPr>
          <w:rFonts w:ascii="Arial" w:hAnsi="Arial" w:cs="Arial"/>
          <w:sz w:val="22"/>
          <w:szCs w:val="22"/>
        </w:rPr>
        <w:t>kontrolovat</w:t>
      </w:r>
      <w:r w:rsidR="00C7555E" w:rsidRPr="007548F4">
        <w:rPr>
          <w:rFonts w:ascii="Arial" w:hAnsi="Arial" w:cs="Arial"/>
          <w:sz w:val="22"/>
          <w:szCs w:val="22"/>
        </w:rPr>
        <w:t xml:space="preserve"> čerpání jednotlivých položek rozpočtu z hlediska jej</w:t>
      </w:r>
      <w:r w:rsidR="00703D0F">
        <w:rPr>
          <w:rFonts w:ascii="Arial" w:hAnsi="Arial" w:cs="Arial"/>
          <w:sz w:val="22"/>
          <w:szCs w:val="22"/>
        </w:rPr>
        <w:t>ich nedočerpání nebo přečerpání;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navrhovat a provádět opatření </w:t>
      </w:r>
      <w:r w:rsidR="00703D0F">
        <w:rPr>
          <w:rFonts w:ascii="Arial" w:hAnsi="Arial" w:cs="Arial"/>
          <w:sz w:val="22"/>
          <w:szCs w:val="22"/>
        </w:rPr>
        <w:t>k </w:t>
      </w:r>
      <w:r w:rsidRPr="007548F4">
        <w:rPr>
          <w:rFonts w:ascii="Arial" w:hAnsi="Arial" w:cs="Arial"/>
          <w:sz w:val="22"/>
          <w:szCs w:val="22"/>
        </w:rPr>
        <w:t>odstraňování nedostatků a vad projektové dokumentace ve spolupráci s projektantem, zho</w:t>
      </w:r>
      <w:r w:rsidR="00703D0F">
        <w:rPr>
          <w:rFonts w:ascii="Arial" w:hAnsi="Arial" w:cs="Arial"/>
          <w:sz w:val="22"/>
          <w:szCs w:val="22"/>
        </w:rPr>
        <w:t>tovitelem stavby a objednatelem;</w:t>
      </w:r>
    </w:p>
    <w:p w:rsidR="00C7555E" w:rsidRPr="007548F4" w:rsidRDefault="00844362" w:rsidP="00CC70ED">
      <w:pPr>
        <w:numPr>
          <w:ilvl w:val="0"/>
          <w:numId w:val="2"/>
        </w:numPr>
        <w:spacing w:after="60"/>
        <w:ind w:left="426" w:hanging="426"/>
        <w:jc w:val="both"/>
        <w:rPr>
          <w:rFonts w:ascii="Arial" w:hAnsi="Arial" w:cs="Arial"/>
          <w:sz w:val="22"/>
          <w:szCs w:val="22"/>
        </w:rPr>
      </w:pPr>
      <w:r w:rsidRPr="009B69ED">
        <w:rPr>
          <w:rFonts w:ascii="Arial" w:hAnsi="Arial" w:cs="Arial"/>
          <w:sz w:val="22"/>
          <w:szCs w:val="22"/>
        </w:rPr>
        <w:t xml:space="preserve">projednávat </w:t>
      </w:r>
      <w:r w:rsidR="009B69ED">
        <w:rPr>
          <w:rFonts w:ascii="Arial" w:hAnsi="Arial" w:cs="Arial"/>
          <w:sz w:val="22"/>
          <w:szCs w:val="22"/>
        </w:rPr>
        <w:t xml:space="preserve">a </w:t>
      </w:r>
      <w:r w:rsidR="009B69ED" w:rsidRPr="009B69ED">
        <w:rPr>
          <w:rFonts w:ascii="Arial" w:hAnsi="Arial" w:cs="Arial"/>
          <w:sz w:val="22"/>
          <w:szCs w:val="22"/>
        </w:rPr>
        <w:t xml:space="preserve">odsouhlasovat </w:t>
      </w:r>
      <w:r w:rsidRPr="009B69ED">
        <w:rPr>
          <w:rFonts w:ascii="Arial" w:hAnsi="Arial" w:cs="Arial"/>
          <w:sz w:val="22"/>
          <w:szCs w:val="22"/>
        </w:rPr>
        <w:t xml:space="preserve">dodatky a nutné změny dokumentace, které neprodlužují </w:t>
      </w:r>
      <w:r w:rsidR="009B69ED">
        <w:rPr>
          <w:rFonts w:ascii="Arial" w:hAnsi="Arial" w:cs="Arial"/>
          <w:sz w:val="22"/>
          <w:szCs w:val="22"/>
        </w:rPr>
        <w:t>dobu</w:t>
      </w:r>
      <w:r w:rsidRPr="009B69ED">
        <w:rPr>
          <w:rFonts w:ascii="Arial" w:hAnsi="Arial" w:cs="Arial"/>
          <w:sz w:val="22"/>
          <w:szCs w:val="22"/>
        </w:rPr>
        <w:t xml:space="preserve"> </w:t>
      </w:r>
      <w:r w:rsidR="009B69ED">
        <w:rPr>
          <w:rFonts w:ascii="Arial" w:hAnsi="Arial" w:cs="Arial"/>
          <w:sz w:val="22"/>
          <w:szCs w:val="22"/>
        </w:rPr>
        <w:t>vý</w:t>
      </w:r>
      <w:r w:rsidRPr="009B69ED">
        <w:rPr>
          <w:rFonts w:ascii="Arial" w:hAnsi="Arial" w:cs="Arial"/>
          <w:sz w:val="22"/>
          <w:szCs w:val="22"/>
        </w:rPr>
        <w:t>stavby a nezhoršují</w:t>
      </w:r>
      <w:r w:rsidR="009B69ED">
        <w:rPr>
          <w:rFonts w:ascii="Arial" w:hAnsi="Arial" w:cs="Arial"/>
          <w:sz w:val="22"/>
          <w:szCs w:val="22"/>
        </w:rPr>
        <w:t xml:space="preserve"> parametry stavby,</w:t>
      </w:r>
      <w:r w:rsidRPr="007548F4">
        <w:rPr>
          <w:rFonts w:ascii="Arial" w:hAnsi="Arial" w:cs="Arial"/>
          <w:sz w:val="22"/>
          <w:szCs w:val="22"/>
        </w:rPr>
        <w:t xml:space="preserve"> ostatní změny předkládat s vlastním vyjádřením objednateli</w:t>
      </w:r>
      <w:r w:rsidR="009B69ED">
        <w:rPr>
          <w:rFonts w:ascii="Arial" w:hAnsi="Arial" w:cs="Arial"/>
          <w:sz w:val="22"/>
          <w:szCs w:val="22"/>
        </w:rPr>
        <w:t>;</w:t>
      </w:r>
    </w:p>
    <w:p w:rsidR="00C7555E" w:rsidRPr="007548F4" w:rsidRDefault="00844362"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řádným vedením stavebníh</w:t>
      </w:r>
      <w:r w:rsidR="009B69ED">
        <w:rPr>
          <w:rFonts w:ascii="Arial" w:hAnsi="Arial" w:cs="Arial"/>
          <w:sz w:val="22"/>
          <w:szCs w:val="22"/>
        </w:rPr>
        <w:t>o</w:t>
      </w:r>
      <w:r w:rsidRPr="007548F4">
        <w:rPr>
          <w:rFonts w:ascii="Arial" w:hAnsi="Arial" w:cs="Arial"/>
          <w:sz w:val="22"/>
          <w:szCs w:val="22"/>
        </w:rPr>
        <w:t xml:space="preserve"> deník</w:t>
      </w:r>
      <w:r w:rsidR="009B69ED">
        <w:rPr>
          <w:rFonts w:ascii="Arial" w:hAnsi="Arial" w:cs="Arial"/>
          <w:sz w:val="22"/>
          <w:szCs w:val="22"/>
        </w:rPr>
        <w:t>u</w:t>
      </w:r>
      <w:r w:rsidRPr="007548F4">
        <w:rPr>
          <w:rFonts w:ascii="Arial" w:hAnsi="Arial" w:cs="Arial"/>
          <w:sz w:val="22"/>
          <w:szCs w:val="22"/>
        </w:rPr>
        <w:t>, zaznamenávat všechny skutečnosti rozhodné pro řádný průběh stavby, kontrolovat zápisy zhotovitele a vyjadřovat se k</w:t>
      </w:r>
      <w:r w:rsidR="009B69ED">
        <w:rPr>
          <w:rFonts w:ascii="Arial" w:hAnsi="Arial" w:cs="Arial"/>
          <w:sz w:val="22"/>
          <w:szCs w:val="22"/>
        </w:rPr>
        <w:t> </w:t>
      </w:r>
      <w:r w:rsidRPr="007548F4">
        <w:rPr>
          <w:rFonts w:ascii="Arial" w:hAnsi="Arial" w:cs="Arial"/>
          <w:sz w:val="22"/>
          <w:szCs w:val="22"/>
        </w:rPr>
        <w:t>nim</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ověřovat správnost všech návrhů zhotovitele na změny cen, termínů nebo jiných podmínek smlouvy, připojovat k nim své stano</w:t>
      </w:r>
      <w:r w:rsidR="009B69ED">
        <w:rPr>
          <w:rFonts w:ascii="Arial" w:hAnsi="Arial" w:cs="Arial"/>
          <w:sz w:val="22"/>
          <w:szCs w:val="22"/>
        </w:rPr>
        <w:t xml:space="preserve">visko a předávat je objednateli. </w:t>
      </w:r>
      <w:r w:rsidR="009B69ED" w:rsidRPr="009B69ED">
        <w:rPr>
          <w:rFonts w:ascii="Arial" w:hAnsi="Arial" w:cs="Arial"/>
          <w:sz w:val="22"/>
          <w:szCs w:val="22"/>
        </w:rPr>
        <w:t>Poskytovatel</w:t>
      </w:r>
      <w:r w:rsidR="007B0E1E" w:rsidRPr="009B69ED">
        <w:rPr>
          <w:rFonts w:ascii="Arial" w:hAnsi="Arial" w:cs="Arial"/>
          <w:sz w:val="22"/>
          <w:szCs w:val="22"/>
        </w:rPr>
        <w:t xml:space="preserve"> přitom zejména </w:t>
      </w:r>
      <w:r w:rsidR="009B69ED" w:rsidRPr="009B69ED">
        <w:rPr>
          <w:rFonts w:ascii="Arial" w:hAnsi="Arial" w:cs="Arial"/>
          <w:sz w:val="22"/>
          <w:szCs w:val="22"/>
        </w:rPr>
        <w:t xml:space="preserve">dbá </w:t>
      </w:r>
      <w:r w:rsidR="007B0E1E" w:rsidRPr="009B69ED">
        <w:rPr>
          <w:rFonts w:ascii="Arial" w:hAnsi="Arial" w:cs="Arial"/>
          <w:sz w:val="22"/>
          <w:szCs w:val="22"/>
        </w:rPr>
        <w:t>o hospodárnost stavby z pohledu objednatele</w:t>
      </w:r>
      <w:r w:rsidR="009B69ED">
        <w:rPr>
          <w:rFonts w:ascii="Arial" w:hAnsi="Arial" w:cs="Arial"/>
          <w:sz w:val="22"/>
          <w:szCs w:val="22"/>
        </w:rPr>
        <w:t>;</w:t>
      </w:r>
    </w:p>
    <w:p w:rsidR="009B69ED" w:rsidRDefault="00485E90" w:rsidP="00CC70ED">
      <w:pPr>
        <w:numPr>
          <w:ilvl w:val="0"/>
          <w:numId w:val="2"/>
        </w:numPr>
        <w:spacing w:after="60"/>
        <w:ind w:left="426" w:hanging="426"/>
        <w:jc w:val="both"/>
        <w:rPr>
          <w:rFonts w:ascii="Arial" w:hAnsi="Arial" w:cs="Arial"/>
          <w:sz w:val="22"/>
          <w:szCs w:val="22"/>
        </w:rPr>
      </w:pPr>
      <w:r>
        <w:rPr>
          <w:rFonts w:ascii="Arial" w:hAnsi="Arial" w:cs="Arial"/>
          <w:sz w:val="22"/>
          <w:szCs w:val="22"/>
        </w:rPr>
        <w:t>spolupracovat s koordinátorem BOZ</w:t>
      </w:r>
      <w:r w:rsidR="00B14C22">
        <w:rPr>
          <w:rFonts w:ascii="Arial" w:hAnsi="Arial" w:cs="Arial"/>
          <w:sz w:val="22"/>
          <w:szCs w:val="22"/>
        </w:rPr>
        <w:t>P,</w:t>
      </w:r>
      <w:r>
        <w:rPr>
          <w:rFonts w:ascii="Arial" w:hAnsi="Arial" w:cs="Arial"/>
          <w:sz w:val="22"/>
          <w:szCs w:val="22"/>
        </w:rPr>
        <w:t xml:space="preserve"> </w:t>
      </w:r>
      <w:r w:rsidR="00C7555E" w:rsidRPr="007548F4">
        <w:rPr>
          <w:rFonts w:ascii="Arial" w:hAnsi="Arial" w:cs="Arial"/>
          <w:sz w:val="22"/>
          <w:szCs w:val="22"/>
        </w:rPr>
        <w:t>dohlížet nad dodržováním bezp</w:t>
      </w:r>
      <w:r w:rsidR="00B14C22">
        <w:rPr>
          <w:rFonts w:ascii="Arial" w:hAnsi="Arial" w:cs="Arial"/>
          <w:sz w:val="22"/>
          <w:szCs w:val="22"/>
        </w:rPr>
        <w:t>ečnostních a požárních předpisů a</w:t>
      </w:r>
      <w:r w:rsidR="00C7555E" w:rsidRPr="007548F4">
        <w:rPr>
          <w:rFonts w:ascii="Arial" w:hAnsi="Arial" w:cs="Arial"/>
          <w:sz w:val="22"/>
          <w:szCs w:val="22"/>
        </w:rPr>
        <w:t xml:space="preserve"> nad u</w:t>
      </w:r>
      <w:r w:rsidR="009B69ED">
        <w:rPr>
          <w:rFonts w:ascii="Arial" w:hAnsi="Arial" w:cs="Arial"/>
          <w:sz w:val="22"/>
          <w:szCs w:val="22"/>
        </w:rPr>
        <w:t>držováním pořádku na staveništi;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lastRenderedPageBreak/>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 převzetí dokončené stavby</w:t>
      </w:r>
      <w:r w:rsidRPr="00734F95">
        <w:rPr>
          <w:rFonts w:ascii="Arial" w:hAnsi="Arial" w:cs="Arial"/>
          <w:sz w:val="22"/>
          <w:szCs w:val="22"/>
        </w:rPr>
        <w:t>;</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rsidR="009A1FAC" w:rsidRDefault="009A1FAC" w:rsidP="00E30850">
      <w:pPr>
        <w:pStyle w:val="Podnadpis1"/>
        <w:keepNext/>
        <w:spacing w:before="0"/>
        <w:ind w:left="0"/>
        <w:rPr>
          <w:rFonts w:ascii="Arial" w:hAnsi="Arial" w:cs="Arial"/>
          <w:color w:val="auto"/>
          <w:sz w:val="22"/>
          <w:szCs w:val="22"/>
        </w:rPr>
      </w:pPr>
    </w:p>
    <w:p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lastRenderedPageBreak/>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platnosti 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1F544C">
        <w:rPr>
          <w:rFonts w:ascii="Arial" w:hAnsi="Arial" w:cs="Arial"/>
          <w:color w:val="auto"/>
          <w:sz w:val="22"/>
          <w:szCs w:val="22"/>
        </w:rPr>
        <w:t xml:space="preserve">na </w:t>
      </w:r>
      <w:r w:rsidR="00103D36">
        <w:rPr>
          <w:rFonts w:ascii="Arial" w:hAnsi="Arial" w:cs="Arial"/>
          <w:b/>
          <w:color w:val="auto"/>
          <w:sz w:val="22"/>
          <w:szCs w:val="22"/>
        </w:rPr>
        <w:t>50</w:t>
      </w:r>
      <w:r w:rsidRPr="002A7AED">
        <w:rPr>
          <w:rFonts w:ascii="Arial" w:hAnsi="Arial" w:cs="Arial"/>
          <w:b/>
          <w:color w:val="auto"/>
          <w:sz w:val="22"/>
          <w:szCs w:val="22"/>
        </w:rPr>
        <w:t>0 000</w:t>
      </w:r>
      <w:r w:rsidRPr="001F544C">
        <w:rPr>
          <w:rFonts w:ascii="Arial" w:hAnsi="Arial" w:cs="Arial"/>
          <w:b/>
          <w:color w:val="auto"/>
          <w:sz w:val="22"/>
          <w:szCs w:val="22"/>
        </w:rPr>
        <w:t> </w:t>
      </w:r>
      <w:r w:rsidRPr="001F544C">
        <w:rPr>
          <w:rFonts w:ascii="Arial" w:hAnsi="Arial" w:cs="Arial"/>
          <w:color w:val="auto"/>
          <w:sz w:val="22"/>
          <w:szCs w:val="22"/>
        </w:rPr>
        <w:t>Kč</w:t>
      </w:r>
      <w:r w:rsidR="00565F7E" w:rsidRPr="001F544C">
        <w:rPr>
          <w:rFonts w:ascii="Arial" w:hAnsi="Arial" w:cs="Arial"/>
          <w:color w:val="auto"/>
          <w:sz w:val="22"/>
          <w:szCs w:val="22"/>
        </w:rPr>
        <w:t>. Poskytovatel je povinen existenci uvedeného pojištění prokázat nejpozději při uzavření této smlouvy (viz též zadávací podmínky veřejné zakázky, v níž byla tato smlouva uzavřena).</w:t>
      </w:r>
    </w:p>
    <w:p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rsidR="00485E90" w:rsidRDefault="00485E90" w:rsidP="006A4509">
      <w:pPr>
        <w:pStyle w:val="Podnadpis1"/>
        <w:spacing w:before="0" w:after="120"/>
        <w:ind w:left="0"/>
        <w:rPr>
          <w:rFonts w:ascii="Arial" w:hAnsi="Arial" w:cs="Arial"/>
          <w:color w:val="auto"/>
          <w:sz w:val="22"/>
          <w:szCs w:val="22"/>
        </w:rPr>
      </w:pPr>
    </w:p>
    <w:p w:rsidR="006A4509" w:rsidRDefault="006A4509" w:rsidP="006A4509">
      <w:pPr>
        <w:pStyle w:val="Nadpis1"/>
        <w:spacing w:before="0" w:after="0"/>
        <w:jc w:val="center"/>
        <w:rPr>
          <w:rFonts w:cs="Arial"/>
          <w:sz w:val="24"/>
          <w:szCs w:val="24"/>
        </w:rPr>
      </w:pPr>
      <w:r w:rsidRPr="007548F4">
        <w:rPr>
          <w:rFonts w:cs="Arial"/>
          <w:sz w:val="24"/>
          <w:szCs w:val="24"/>
        </w:rPr>
        <w:t>Článek IV.</w:t>
      </w:r>
    </w:p>
    <w:p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rsidR="006A4509" w:rsidRPr="007548F4" w:rsidRDefault="006A4509" w:rsidP="006A4509">
      <w:pPr>
        <w:pStyle w:val="Podnadpis1"/>
        <w:spacing w:before="0" w:after="120"/>
        <w:ind w:left="0"/>
        <w:rPr>
          <w:rFonts w:ascii="Arial" w:hAnsi="Arial" w:cs="Arial"/>
          <w:color w:val="auto"/>
          <w:sz w:val="22"/>
          <w:szCs w:val="22"/>
        </w:rPr>
      </w:pPr>
    </w:p>
    <w:p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rsidR="006A4509" w:rsidRPr="004D4640"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sidR="00C86C64">
        <w:rPr>
          <w:rFonts w:ascii="Arial" w:hAnsi="Arial" w:cs="Arial"/>
          <w:b/>
          <w:sz w:val="22"/>
          <w:szCs w:val="22"/>
        </w:rPr>
        <w:t>777 000 Kč</w:t>
      </w:r>
      <w:r>
        <w:rPr>
          <w:rFonts w:ascii="Arial" w:hAnsi="Arial" w:cs="Arial"/>
          <w:b/>
          <w:sz w:val="22"/>
          <w:szCs w:val="22"/>
        </w:rPr>
        <w:tab/>
      </w:r>
      <w:r w:rsidRPr="00A371A1">
        <w:rPr>
          <w:rFonts w:ascii="Arial" w:hAnsi="Arial" w:cs="Arial"/>
          <w:sz w:val="22"/>
          <w:szCs w:val="22"/>
        </w:rPr>
        <w:t xml:space="preserve">(dále jen </w:t>
      </w:r>
      <w:r>
        <w:rPr>
          <w:rFonts w:ascii="Arial" w:hAnsi="Arial" w:cs="Arial"/>
          <w:sz w:val="22"/>
          <w:szCs w:val="22"/>
        </w:rPr>
        <w:t>„</w:t>
      </w:r>
      <w:r w:rsidRPr="00A371A1">
        <w:rPr>
          <w:rFonts w:ascii="Arial" w:hAnsi="Arial" w:cs="Arial"/>
          <w:sz w:val="22"/>
          <w:szCs w:val="22"/>
        </w:rPr>
        <w:t>smluvní odměna</w:t>
      </w:r>
      <w:r>
        <w:rPr>
          <w:rFonts w:ascii="Arial" w:hAnsi="Arial" w:cs="Arial"/>
          <w:sz w:val="22"/>
          <w:szCs w:val="22"/>
        </w:rPr>
        <w:t>“</w:t>
      </w:r>
      <w:r w:rsidRPr="00A371A1">
        <w:rPr>
          <w:rFonts w:ascii="Arial" w:hAnsi="Arial" w:cs="Arial"/>
          <w:sz w:val="22"/>
          <w:szCs w:val="22"/>
        </w:rPr>
        <w:t>)</w:t>
      </w:r>
    </w:p>
    <w:p w:rsidR="006A4509" w:rsidRPr="00AA1BC6" w:rsidRDefault="006A4509" w:rsidP="006A4509">
      <w:pPr>
        <w:tabs>
          <w:tab w:val="right" w:pos="4536"/>
        </w:tabs>
        <w:spacing w:after="40"/>
        <w:ind w:left="720"/>
        <w:jc w:val="both"/>
        <w:rPr>
          <w:rFonts w:ascii="Arial" w:hAnsi="Arial" w:cs="Arial"/>
          <w:b/>
          <w:sz w:val="22"/>
          <w:szCs w:val="22"/>
        </w:rPr>
      </w:pPr>
      <w:r w:rsidRPr="00AA1BC6">
        <w:rPr>
          <w:rFonts w:ascii="Arial" w:hAnsi="Arial" w:cs="Arial"/>
          <w:sz w:val="22"/>
          <w:szCs w:val="22"/>
        </w:rPr>
        <w:t>- částka DPH</w:t>
      </w:r>
      <w:r w:rsidRPr="00AA1BC6">
        <w:rPr>
          <w:rFonts w:ascii="Arial" w:hAnsi="Arial" w:cs="Arial"/>
          <w:b/>
          <w:sz w:val="22"/>
          <w:szCs w:val="22"/>
        </w:rPr>
        <w:tab/>
      </w:r>
      <w:r w:rsidR="00C86C64" w:rsidRPr="00AA1BC6">
        <w:rPr>
          <w:rFonts w:ascii="Arial" w:hAnsi="Arial"/>
          <w:b/>
          <w:sz w:val="22"/>
          <w:szCs w:val="22"/>
        </w:rPr>
        <w:t>163  170</w:t>
      </w:r>
      <w:r w:rsidR="00AA1BC6" w:rsidRPr="00AA1BC6">
        <w:rPr>
          <w:rFonts w:ascii="Arial" w:hAnsi="Arial"/>
          <w:b/>
          <w:sz w:val="22"/>
          <w:szCs w:val="22"/>
        </w:rPr>
        <w:t xml:space="preserve"> </w:t>
      </w:r>
      <w:r w:rsidR="00C86C64" w:rsidRPr="00AA1BC6">
        <w:rPr>
          <w:rFonts w:ascii="Arial" w:hAnsi="Arial"/>
          <w:b/>
          <w:sz w:val="22"/>
          <w:szCs w:val="22"/>
        </w:rPr>
        <w:t>Kč</w:t>
      </w:r>
    </w:p>
    <w:p w:rsidR="006A4509" w:rsidRDefault="006A4509" w:rsidP="006A4509">
      <w:pPr>
        <w:tabs>
          <w:tab w:val="right" w:pos="4536"/>
        </w:tabs>
        <w:spacing w:after="120"/>
        <w:ind w:left="720"/>
        <w:jc w:val="both"/>
        <w:rPr>
          <w:rFonts w:ascii="Arial" w:hAnsi="Arial" w:cs="Arial"/>
          <w:b/>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sidR="00AA1BC6" w:rsidRPr="00AA1BC6">
        <w:rPr>
          <w:rFonts w:ascii="Arial" w:hAnsi="Arial" w:cs="Arial"/>
          <w:b/>
          <w:sz w:val="22"/>
          <w:szCs w:val="22"/>
        </w:rPr>
        <w:t>940</w:t>
      </w:r>
      <w:r w:rsidR="00AA1BC6">
        <w:rPr>
          <w:rFonts w:ascii="Arial" w:hAnsi="Arial" w:cs="Arial"/>
          <w:b/>
          <w:sz w:val="22"/>
          <w:szCs w:val="22"/>
        </w:rPr>
        <w:t> </w:t>
      </w:r>
      <w:r w:rsidR="00AA1BC6" w:rsidRPr="00AA1BC6">
        <w:rPr>
          <w:rFonts w:ascii="Arial" w:hAnsi="Arial" w:cs="Arial"/>
          <w:b/>
          <w:sz w:val="22"/>
          <w:szCs w:val="22"/>
        </w:rPr>
        <w:t>170</w:t>
      </w:r>
      <w:r w:rsidR="00AA1BC6">
        <w:rPr>
          <w:rFonts w:ascii="Arial" w:hAnsi="Arial" w:cs="Arial"/>
          <w:b/>
          <w:sz w:val="22"/>
          <w:szCs w:val="22"/>
        </w:rPr>
        <w:t xml:space="preserve"> Kč</w:t>
      </w:r>
    </w:p>
    <w:p w:rsidR="002C71D6" w:rsidRPr="00C23BB2"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 xml:space="preserve">Smluvní odměna je stanovena na základě cenové nabídky poskytovatele jako pevná a nepřekročitelná, zahrnující veškeré činnosti poskytovatele dle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r>
        <w:rPr>
          <w:rFonts w:ascii="Arial" w:hAnsi="Arial" w:cs="Arial"/>
          <w:sz w:val="22"/>
          <w:szCs w:val="22"/>
        </w:rPr>
        <w:t xml:space="preserve"> K takové změně není třeba uzavírat dodatek smlouvy.</w:t>
      </w:r>
    </w:p>
    <w:p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Smluvní strany výslovně stanoví, že veškeré náklady poskytovatele jsou pokryty jeho smluvní odměnou v souladu bodem 1. tohoto článku. Poskytovatel nemá nárok na náhradu nákladů mimo sjednanou smluvní odměnu. Objednatel neposkytuje žádné zálohy.</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Poskytovatel bude fakturovat </w:t>
      </w:r>
      <w:r w:rsidR="00643385" w:rsidRPr="001F544C">
        <w:rPr>
          <w:rFonts w:ascii="Arial" w:hAnsi="Arial" w:cs="Arial"/>
          <w:b/>
          <w:sz w:val="22"/>
          <w:szCs w:val="22"/>
        </w:rPr>
        <w:t>měsíčně</w:t>
      </w:r>
      <w:r>
        <w:rPr>
          <w:rFonts w:ascii="Arial" w:hAnsi="Arial" w:cs="Arial"/>
          <w:sz w:val="22"/>
          <w:szCs w:val="22"/>
        </w:rPr>
        <w:t xml:space="preserve"> poměrnou část smluvní odměny odpovídající délce smlouvy</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rozsahu </w:t>
      </w:r>
      <w:r>
        <w:rPr>
          <w:rFonts w:ascii="Arial" w:hAnsi="Arial" w:cs="Arial"/>
          <w:sz w:val="22"/>
          <w:szCs w:val="22"/>
        </w:rPr>
        <w:t>provedených činností.</w:t>
      </w:r>
    </w:p>
    <w:p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Faktury budou adresovány na adresu sídla objednatele uvedenou v záhlaví smlouvy. Zasílání faktur elektronickými prostředky může mít v podmínkách objednatele specifická </w:t>
      </w:r>
      <w:r>
        <w:rPr>
          <w:rFonts w:ascii="Arial" w:hAnsi="Arial" w:cs="Arial"/>
          <w:sz w:val="22"/>
          <w:szCs w:val="22"/>
        </w:rPr>
        <w:lastRenderedPageBreak/>
        <w:t>omezení a/nebo požadavky. Bližší informace poskytne na vyžádání osoba jednající za objednatele ve věcech technických.</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Doba splatnosti bude činit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Pr>
          <w:rFonts w:ascii="Arial" w:hAnsi="Arial" w:cs="Arial"/>
          <w:sz w:val="22"/>
          <w:szCs w:val="22"/>
        </w:rPr>
        <w:t>t</w:t>
      </w:r>
      <w:r w:rsidR="00D210B3">
        <w:rPr>
          <w:rFonts w:ascii="Arial" w:hAnsi="Arial" w:cs="Arial"/>
          <w:sz w:val="22"/>
          <w:szCs w:val="22"/>
        </w:rPr>
        <w:t>u poskytovatele.</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p>
    <w:p w:rsidR="009A1FAC" w:rsidRDefault="009A1FAC" w:rsidP="003A52B3">
      <w:pPr>
        <w:pStyle w:val="Podnadpis1"/>
        <w:spacing w:before="0"/>
        <w:ind w:left="0"/>
        <w:rPr>
          <w:rFonts w:ascii="Arial" w:hAnsi="Arial" w:cs="Arial"/>
          <w:color w:val="auto"/>
          <w:sz w:val="22"/>
          <w:szCs w:val="22"/>
        </w:rPr>
      </w:pPr>
    </w:p>
    <w:p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 xml:space="preserve">Smlouva se uzavírá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7548F4">
        <w:rPr>
          <w:rFonts w:ascii="Arial" w:hAnsi="Arial" w:cs="Arial"/>
          <w:sz w:val="22"/>
          <w:szCs w:val="22"/>
        </w:rPr>
        <w:t xml:space="preserve">, nejdéle však </w:t>
      </w:r>
      <w:r w:rsidRPr="00A64981">
        <w:rPr>
          <w:rFonts w:ascii="Arial" w:hAnsi="Arial" w:cs="Arial"/>
          <w:sz w:val="22"/>
          <w:szCs w:val="22"/>
        </w:rPr>
        <w:t xml:space="preserve">do </w:t>
      </w:r>
      <w:r w:rsidR="00103D36">
        <w:rPr>
          <w:rFonts w:ascii="Arial" w:hAnsi="Arial" w:cs="Arial"/>
          <w:b/>
          <w:sz w:val="22"/>
          <w:szCs w:val="22"/>
        </w:rPr>
        <w:t>31</w:t>
      </w:r>
      <w:r w:rsidR="00B90BCB" w:rsidRPr="00A64981">
        <w:rPr>
          <w:rFonts w:ascii="Arial" w:hAnsi="Arial" w:cs="Arial"/>
          <w:b/>
          <w:sz w:val="22"/>
          <w:szCs w:val="22"/>
        </w:rPr>
        <w:t xml:space="preserve">. </w:t>
      </w:r>
      <w:r w:rsidR="00103D36">
        <w:rPr>
          <w:rFonts w:ascii="Arial" w:hAnsi="Arial" w:cs="Arial"/>
          <w:b/>
          <w:sz w:val="22"/>
          <w:szCs w:val="22"/>
        </w:rPr>
        <w:t>12</w:t>
      </w:r>
      <w:r w:rsidR="001F544C" w:rsidRPr="00A64981">
        <w:rPr>
          <w:rFonts w:ascii="Arial" w:hAnsi="Arial" w:cs="Arial"/>
          <w:b/>
          <w:sz w:val="22"/>
          <w:szCs w:val="22"/>
        </w:rPr>
        <w:t>. 202</w:t>
      </w:r>
      <w:r w:rsidR="00103D36">
        <w:rPr>
          <w:rFonts w:ascii="Arial" w:hAnsi="Arial" w:cs="Arial"/>
          <w:b/>
          <w:sz w:val="22"/>
          <w:szCs w:val="22"/>
        </w:rPr>
        <w:t>3</w:t>
      </w:r>
      <w:r w:rsidRPr="00A64981">
        <w:rPr>
          <w:rFonts w:ascii="Arial" w:hAnsi="Arial" w:cs="Arial"/>
          <w:sz w:val="22"/>
          <w:szCs w:val="22"/>
        </w:rPr>
        <w:t>.</w:t>
      </w:r>
    </w:p>
    <w:p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Poskytovatel je v případě předčasného ukončení smlouvy vždy povinen upozornit objednatele na opatření potřebná k tomu, aby se zabránilo bezprostředně hrozícímu vzniku škody nedokončením jeho činnosti vyplývající z této smlouvy.</w:t>
      </w:r>
    </w:p>
    <w:p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rsidR="00A538F6" w:rsidRDefault="00A538F6" w:rsidP="00DE3725">
      <w:pPr>
        <w:pStyle w:val="Podnadpis1"/>
        <w:spacing w:before="0"/>
        <w:ind w:left="0"/>
        <w:rPr>
          <w:rFonts w:ascii="Arial" w:hAnsi="Arial" w:cs="Arial"/>
          <w:color w:val="auto"/>
          <w:sz w:val="22"/>
          <w:szCs w:val="22"/>
        </w:rPr>
      </w:pPr>
    </w:p>
    <w:p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t>Článek VI</w:t>
      </w:r>
      <w:r w:rsidR="00DE3725" w:rsidRPr="00DE3725">
        <w:rPr>
          <w:rFonts w:ascii="Arial" w:hAnsi="Arial" w:cs="Arial"/>
          <w:b/>
          <w:sz w:val="24"/>
          <w:szCs w:val="24"/>
        </w:rPr>
        <w:t>I</w:t>
      </w:r>
      <w:r w:rsidRPr="00DE3725">
        <w:rPr>
          <w:rFonts w:ascii="Arial" w:hAnsi="Arial" w:cs="Arial"/>
          <w:b/>
          <w:sz w:val="24"/>
          <w:szCs w:val="24"/>
        </w:rPr>
        <w:t>.</w:t>
      </w:r>
    </w:p>
    <w:p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rsidR="00661F3E" w:rsidRPr="00661F3E" w:rsidRDefault="00661F3E" w:rsidP="00CC70ED">
      <w:pPr>
        <w:numPr>
          <w:ilvl w:val="0"/>
          <w:numId w:val="13"/>
        </w:numPr>
        <w:spacing w:after="60"/>
        <w:ind w:left="709" w:hanging="283"/>
        <w:jc w:val="both"/>
        <w:rPr>
          <w:rFonts w:ascii="Arial" w:hAnsi="Arial" w:cs="Arial"/>
          <w:sz w:val="22"/>
          <w:szCs w:val="22"/>
        </w:rPr>
      </w:pPr>
      <w:r>
        <w:rPr>
          <w:rFonts w:ascii="Arial" w:hAnsi="Arial" w:cs="Arial"/>
          <w:sz w:val="22"/>
          <w:szCs w:val="22"/>
        </w:rPr>
        <w:lastRenderedPageBreak/>
        <w:t>1</w:t>
      </w:r>
      <w:r w:rsidRPr="00661F3E">
        <w:rPr>
          <w:rFonts w:ascii="Arial" w:hAnsi="Arial" w:cs="Arial"/>
          <w:sz w:val="22"/>
          <w:szCs w:val="22"/>
        </w:rPr>
        <w:t> % smluvní odměny</w:t>
      </w:r>
      <w:r>
        <w:rPr>
          <w:rFonts w:ascii="Arial" w:hAnsi="Arial" w:cs="Arial"/>
          <w:sz w:val="22"/>
          <w:szCs w:val="22"/>
        </w:rPr>
        <w:t>, nejméně však 5 0</w:t>
      </w:r>
      <w:r w:rsidRPr="00661F3E">
        <w:rPr>
          <w:rFonts w:ascii="Arial" w:hAnsi="Arial" w:cs="Arial"/>
          <w:sz w:val="22"/>
          <w:szCs w:val="22"/>
        </w:rPr>
        <w:t>00 Kč,</w:t>
      </w:r>
      <w:r w:rsidR="00DE3725" w:rsidRPr="00661F3E">
        <w:rPr>
          <w:rFonts w:ascii="Arial" w:hAnsi="Arial" w:cs="Arial"/>
          <w:sz w:val="22"/>
          <w:szCs w:val="22"/>
        </w:rPr>
        <w:t xml:space="preserve"> </w:t>
      </w:r>
      <w:r w:rsidRPr="00661F3E">
        <w:rPr>
          <w:rFonts w:ascii="Arial" w:hAnsi="Arial" w:cs="Arial"/>
          <w:sz w:val="22"/>
          <w:szCs w:val="22"/>
        </w:rPr>
        <w:t>za porušení smlouvy klasifikované jako podstatné</w:t>
      </w:r>
      <w:r w:rsidR="009F63CC">
        <w:rPr>
          <w:rFonts w:ascii="Arial" w:hAnsi="Arial" w:cs="Arial"/>
          <w:sz w:val="22"/>
          <w:szCs w:val="22"/>
        </w:rPr>
        <w:t>,</w:t>
      </w:r>
    </w:p>
    <w:p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rsidR="009F63CC" w:rsidRDefault="009F63CC" w:rsidP="00CC70ED">
      <w:pPr>
        <w:numPr>
          <w:ilvl w:val="0"/>
          <w:numId w:val="13"/>
        </w:numPr>
        <w:spacing w:after="60"/>
        <w:ind w:left="709" w:hanging="284"/>
        <w:jc w:val="both"/>
        <w:rPr>
          <w:rFonts w:ascii="Arial" w:hAnsi="Arial" w:cs="Arial"/>
          <w:sz w:val="22"/>
          <w:szCs w:val="22"/>
        </w:rPr>
      </w:pPr>
      <w:r>
        <w:rPr>
          <w:rFonts w:ascii="Arial" w:hAnsi="Arial" w:cs="Arial"/>
          <w:sz w:val="22"/>
          <w:szCs w:val="22"/>
        </w:rPr>
        <w:t>10 % smluvní odměny, nejméně však 50 000 Kč, v případě podstatného porušení smlouvy, pro které objednatel od smlouvy odstoupil,</w:t>
      </w:r>
    </w:p>
    <w:p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dluhů 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 smlouvy je poskytovatel oprávněn uplatňovat smluvní pokutu ve výši 0,05 % z fakturované částky za každý den prodlení.</w:t>
      </w:r>
    </w:p>
    <w:p w:rsidR="00CD679B" w:rsidRDefault="00CD679B" w:rsidP="009A1FAC">
      <w:pPr>
        <w:pStyle w:val="Podnadpis1"/>
        <w:spacing w:before="0"/>
        <w:rPr>
          <w:rFonts w:ascii="Arial" w:hAnsi="Arial" w:cs="Arial"/>
          <w:color w:val="auto"/>
          <w:sz w:val="22"/>
          <w:szCs w:val="22"/>
        </w:rPr>
      </w:pPr>
    </w:p>
    <w:p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Uzavřením smlouvy vzniká poskytovateli právo na jedno listinné vyhotovení projektové dokumentace stavby, pro kterou budou služby sjednané touto smlouvou poskytovány. Podrobnosti jejíh</w:t>
      </w:r>
      <w:r w:rsidR="00D14B5F">
        <w:rPr>
          <w:rFonts w:ascii="Arial" w:hAnsi="Arial" w:cs="Arial"/>
          <w:sz w:val="22"/>
          <w:szCs w:val="22"/>
        </w:rPr>
        <w:t>o předání sjedná poskytovatel se zástupcem objednatele ve věcech technických.</w:t>
      </w:r>
    </w:p>
    <w:p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rsidR="00CE701B" w:rsidRPr="00B90BCB" w:rsidRDefault="00CE701B" w:rsidP="00CC70ED">
      <w:pPr>
        <w:numPr>
          <w:ilvl w:val="0"/>
          <w:numId w:val="6"/>
        </w:numPr>
        <w:spacing w:after="120" w:line="240" w:lineRule="exact"/>
        <w:ind w:left="425" w:hanging="425"/>
        <w:jc w:val="both"/>
        <w:rPr>
          <w:rFonts w:ascii="Arial" w:hAnsi="Arial" w:cs="Arial"/>
          <w:sz w:val="22"/>
          <w:szCs w:val="22"/>
        </w:rPr>
      </w:pPr>
      <w:r w:rsidRPr="00B90BCB">
        <w:rPr>
          <w:rFonts w:ascii="Arial" w:hAnsi="Arial" w:cs="Arial"/>
          <w:sz w:val="22"/>
          <w:szCs w:val="22"/>
        </w:rPr>
        <w:t xml:space="preserve">Nedílnou součástí této smlouvy je příloha č. </w:t>
      </w:r>
      <w:r w:rsidR="002E0056" w:rsidRPr="00B90BCB">
        <w:rPr>
          <w:rFonts w:ascii="Arial" w:hAnsi="Arial" w:cs="Arial"/>
          <w:sz w:val="22"/>
          <w:szCs w:val="22"/>
        </w:rPr>
        <w:t>1</w:t>
      </w:r>
      <w:r w:rsidRPr="00B90BCB">
        <w:rPr>
          <w:rFonts w:ascii="Arial" w:hAnsi="Arial" w:cs="Arial"/>
          <w:sz w:val="22"/>
          <w:szCs w:val="22"/>
        </w:rPr>
        <w:t xml:space="preserve"> - Povinnosti poskytovatele vyplývající z finanční spoluúčasti evropských fondů na realizaci projektu</w:t>
      </w:r>
      <w:r w:rsidR="00711545" w:rsidRPr="00B90BCB">
        <w:rPr>
          <w:rFonts w:ascii="Arial" w:hAnsi="Arial" w:cs="Arial"/>
          <w:sz w:val="22"/>
          <w:szCs w:val="22"/>
        </w:rPr>
        <w:t>.</w:t>
      </w:r>
    </w:p>
    <w:p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t>S ohledem na právní úpravu zákona č. 340/2015 Sb., o registru smluv, v platném znění, ujednávají smluvní strany následující:</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lastRenderedPageBreak/>
        <w:t>Smluvní strany prohlašují, že žádná část smlouvy nenaplňuje znaky obchodního</w:t>
      </w:r>
      <w:r w:rsidRPr="00BA1732">
        <w:rPr>
          <w:rFonts w:ascii="Arial" w:hAnsi="Arial" w:cs="Arial"/>
          <w:sz w:val="22"/>
          <w:szCs w:val="24"/>
          <w:lang w:eastAsia="ar-SA"/>
        </w:rPr>
        <w:t xml:space="preserve"> tajemství ve smyslu </w:t>
      </w:r>
      <w:proofErr w:type="spellStart"/>
      <w:r w:rsidRPr="00BA1732">
        <w:rPr>
          <w:rFonts w:ascii="Arial" w:hAnsi="Arial" w:cs="Arial"/>
          <w:sz w:val="22"/>
          <w:szCs w:val="24"/>
          <w:lang w:eastAsia="ar-SA"/>
        </w:rPr>
        <w:t>ust</w:t>
      </w:r>
      <w:proofErr w:type="spellEnd"/>
      <w:r w:rsidRPr="00BA1732">
        <w:rPr>
          <w:rFonts w:ascii="Arial" w:hAnsi="Arial" w:cs="Arial"/>
          <w:sz w:val="22"/>
          <w:szCs w:val="24"/>
          <w:lang w:eastAsia="ar-SA"/>
        </w:rPr>
        <w:t>. § 504 občanského zákoníku.</w:t>
      </w:r>
    </w:p>
    <w:p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t>Smluvní strany berou na vědomí, že nebude-li smlouva zveřejněna ani devadesátý den od jejího uzavření, je následujícím dnem zrušena od počátku.</w:t>
      </w:r>
    </w:p>
    <w:p w:rsidR="00854DFB" w:rsidRPr="00854DFB" w:rsidRDefault="00854DFB" w:rsidP="00470F64">
      <w:pPr>
        <w:numPr>
          <w:ilvl w:val="0"/>
          <w:numId w:val="6"/>
        </w:numPr>
        <w:spacing w:after="120" w:line="240" w:lineRule="exact"/>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w:t>
      </w:r>
      <w:r w:rsidR="00243BD5">
        <w:rPr>
          <w:rFonts w:ascii="Arial" w:hAnsi="Arial" w:cs="Arial"/>
          <w:iCs/>
          <w:sz w:val="22"/>
          <w:szCs w:val="22"/>
        </w:rPr>
        <w:t xml:space="preserve">Objednatele </w:t>
      </w:r>
      <w:hyperlink r:id="rId10" w:history="1">
        <w:r w:rsidR="00243BD5" w:rsidRPr="0055656A">
          <w:rPr>
            <w:rStyle w:val="Hypertextovodkaz"/>
            <w:rFonts w:ascii="Arial" w:hAnsi="Arial" w:cs="Arial"/>
            <w:iCs/>
            <w:sz w:val="22"/>
            <w:szCs w:val="22"/>
          </w:rPr>
          <w:t>www.olujevicko.cz</w:t>
        </w:r>
      </w:hyperlink>
      <w:r w:rsidRPr="00854DFB">
        <w:rPr>
          <w:rFonts w:ascii="Arial" w:hAnsi="Arial" w:cs="Arial"/>
          <w:iCs/>
          <w:sz w:val="22"/>
          <w:szCs w:val="22"/>
        </w:rPr>
        <w:t>.</w:t>
      </w:r>
    </w:p>
    <w:p w:rsidR="0044619C" w:rsidRDefault="00F044CC" w:rsidP="00470F64">
      <w:pPr>
        <w:numPr>
          <w:ilvl w:val="0"/>
          <w:numId w:val="6"/>
        </w:numPr>
        <w:spacing w:after="120" w:line="240" w:lineRule="exact"/>
        <w:jc w:val="both"/>
        <w:rPr>
          <w:rFonts w:ascii="Arial" w:hAnsi="Arial" w:cs="Arial"/>
          <w:sz w:val="22"/>
          <w:szCs w:val="22"/>
        </w:rPr>
      </w:pPr>
      <w:r w:rsidRPr="00CE701B">
        <w:rPr>
          <w:rFonts w:ascii="Arial" w:hAnsi="Arial" w:cs="Arial"/>
          <w:sz w:val="22"/>
          <w:szCs w:val="22"/>
        </w:rPr>
        <w:t>Tato smlouva je vyhotovena v pěti stejnopisech, z nichž objednatel obdrží stejnopisy tři a poskytovatel stejnopisy dva.</w:t>
      </w:r>
    </w:p>
    <w:p w:rsidR="00A16FD8" w:rsidRDefault="00A16FD8" w:rsidP="00470F64">
      <w:pPr>
        <w:numPr>
          <w:ilvl w:val="0"/>
          <w:numId w:val="6"/>
        </w:numPr>
        <w:spacing w:after="120" w:line="240" w:lineRule="exact"/>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BA1732" w:rsidRPr="00D418C6" w:rsidRDefault="00BA1732" w:rsidP="00BA1732">
      <w:pPr>
        <w:spacing w:after="120" w:line="240" w:lineRule="exact"/>
        <w:ind w:left="425"/>
        <w:jc w:val="both"/>
        <w:rPr>
          <w:rFonts w:ascii="Arial" w:hAnsi="Arial" w:cs="Arial"/>
          <w:sz w:val="22"/>
          <w:szCs w:val="22"/>
        </w:rPr>
      </w:pPr>
    </w:p>
    <w:p w:rsidR="0044619C" w:rsidRDefault="000653B8" w:rsidP="0044619C">
      <w:pPr>
        <w:pStyle w:val="Zkladntext"/>
        <w:rPr>
          <w:rFonts w:ascii="Arial" w:hAnsi="Arial" w:cs="Arial"/>
          <w:color w:val="auto"/>
          <w:sz w:val="22"/>
          <w:szCs w:val="22"/>
        </w:rPr>
      </w:pPr>
      <w:r>
        <w:rPr>
          <w:rFonts w:ascii="Arial" w:hAnsi="Arial" w:cs="Arial"/>
          <w:color w:val="auto"/>
          <w:sz w:val="22"/>
          <w:szCs w:val="22"/>
        </w:rPr>
        <w:t>V </w:t>
      </w:r>
      <w:r w:rsidR="00175972">
        <w:rPr>
          <w:rFonts w:ascii="Arial" w:hAnsi="Arial" w:cs="Arial"/>
          <w:color w:val="auto"/>
          <w:sz w:val="22"/>
          <w:szCs w:val="22"/>
        </w:rPr>
        <w:t>Jevíčku</w:t>
      </w:r>
      <w:r w:rsidR="0044619C">
        <w:rPr>
          <w:rFonts w:ascii="Arial" w:hAnsi="Arial" w:cs="Arial"/>
          <w:color w:val="auto"/>
          <w:sz w:val="22"/>
          <w:szCs w:val="22"/>
        </w:rPr>
        <w:t xml:space="preserve"> dne:</w:t>
      </w:r>
      <w:r w:rsidR="00AA1BC6">
        <w:rPr>
          <w:rFonts w:ascii="Arial" w:hAnsi="Arial" w:cs="Arial"/>
          <w:color w:val="auto"/>
          <w:sz w:val="22"/>
          <w:szCs w:val="22"/>
        </w:rPr>
        <w:t xml:space="preserve"> </w:t>
      </w:r>
      <w:proofErr w:type="gramStart"/>
      <w:r w:rsidR="00AA1BC6">
        <w:rPr>
          <w:rFonts w:ascii="Arial" w:hAnsi="Arial" w:cs="Arial"/>
          <w:color w:val="auto"/>
          <w:sz w:val="22"/>
          <w:szCs w:val="22"/>
        </w:rPr>
        <w:t>13.8.2021</w:t>
      </w:r>
      <w:proofErr w:type="gramEnd"/>
    </w:p>
    <w:p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747"/>
        <w:gridCol w:w="4747"/>
      </w:tblGrid>
      <w:tr w:rsidR="003A52B3" w:rsidRPr="00CC70ED" w:rsidTr="00CC70ED">
        <w:tc>
          <w:tcPr>
            <w:tcW w:w="4747" w:type="dxa"/>
            <w:shd w:val="clear" w:color="auto" w:fill="auto"/>
            <w:vAlign w:val="center"/>
          </w:tcPr>
          <w:p w:rsidR="003A52B3" w:rsidRPr="00CC70ED" w:rsidRDefault="00175972" w:rsidP="00CC70ED">
            <w:pPr>
              <w:pStyle w:val="Zkladntext"/>
              <w:tabs>
                <w:tab w:val="left" w:pos="3060"/>
              </w:tabs>
              <w:spacing w:before="20" w:after="20"/>
              <w:rPr>
                <w:rFonts w:ascii="Arial" w:hAnsi="Arial" w:cs="Arial"/>
                <w:color w:val="auto"/>
                <w:sz w:val="22"/>
                <w:szCs w:val="22"/>
              </w:rPr>
            </w:pPr>
            <w:r>
              <w:rPr>
                <w:rFonts w:ascii="Arial" w:hAnsi="Arial" w:cs="Arial"/>
                <w:color w:val="auto"/>
                <w:sz w:val="22"/>
                <w:szCs w:val="22"/>
              </w:rPr>
              <w:t xml:space="preserve">            </w:t>
            </w:r>
            <w:r w:rsidR="003A52B3" w:rsidRPr="00CC70ED">
              <w:rPr>
                <w:rFonts w:ascii="Arial" w:hAnsi="Arial" w:cs="Arial"/>
                <w:color w:val="auto"/>
                <w:sz w:val="22"/>
                <w:szCs w:val="22"/>
              </w:rPr>
              <w:t>Za objednatele</w:t>
            </w:r>
          </w:p>
        </w:tc>
        <w:tc>
          <w:tcPr>
            <w:tcW w:w="4747" w:type="dxa"/>
            <w:shd w:val="clear" w:color="auto" w:fill="auto"/>
            <w:vAlign w:val="center"/>
          </w:tcPr>
          <w:p w:rsidR="003A52B3" w:rsidRPr="00CC70ED" w:rsidRDefault="00175972" w:rsidP="00CC70ED">
            <w:pPr>
              <w:pStyle w:val="Zkladntext"/>
              <w:tabs>
                <w:tab w:val="left" w:pos="3060"/>
              </w:tabs>
              <w:spacing w:before="20" w:after="20"/>
              <w:rPr>
                <w:rFonts w:ascii="Arial" w:hAnsi="Arial" w:cs="Arial"/>
                <w:color w:val="auto"/>
                <w:sz w:val="22"/>
                <w:szCs w:val="22"/>
              </w:rPr>
            </w:pPr>
            <w:r>
              <w:rPr>
                <w:rFonts w:ascii="Arial" w:hAnsi="Arial" w:cs="Arial"/>
                <w:color w:val="auto"/>
                <w:sz w:val="22"/>
                <w:szCs w:val="22"/>
              </w:rPr>
              <w:t xml:space="preserve">               </w:t>
            </w:r>
            <w:r w:rsidR="003A52B3" w:rsidRPr="00CC70ED">
              <w:rPr>
                <w:rFonts w:ascii="Arial" w:hAnsi="Arial" w:cs="Arial"/>
                <w:color w:val="auto"/>
                <w:sz w:val="22"/>
                <w:szCs w:val="22"/>
              </w:rPr>
              <w:t>Za poskytovatele</w:t>
            </w: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175972" w:rsidRDefault="00132554" w:rsidP="00CC70ED">
            <w:pPr>
              <w:pStyle w:val="Zkladntext"/>
              <w:tabs>
                <w:tab w:val="left" w:pos="3060"/>
              </w:tabs>
              <w:spacing w:before="20" w:after="20"/>
              <w:jc w:val="center"/>
              <w:rPr>
                <w:rFonts w:ascii="Arial" w:hAnsi="Arial" w:cs="Arial"/>
                <w:color w:val="auto"/>
                <w:sz w:val="22"/>
                <w:szCs w:val="22"/>
              </w:rPr>
            </w:pPr>
            <w:r w:rsidRPr="00175972">
              <w:rPr>
                <w:rFonts w:ascii="Arial" w:hAnsi="Arial" w:cs="Arial"/>
                <w:color w:val="auto"/>
                <w:sz w:val="22"/>
                <w:szCs w:val="22"/>
              </w:rPr>
              <w:t>_____________________</w:t>
            </w:r>
          </w:p>
        </w:tc>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rsidTr="00CC70ED">
        <w:tc>
          <w:tcPr>
            <w:tcW w:w="4747" w:type="dxa"/>
            <w:shd w:val="clear" w:color="auto" w:fill="auto"/>
            <w:vAlign w:val="center"/>
          </w:tcPr>
          <w:p w:rsidR="00204BB8" w:rsidRPr="00175972" w:rsidRDefault="00175972" w:rsidP="00175972">
            <w:pPr>
              <w:pStyle w:val="Zkladntext"/>
              <w:tabs>
                <w:tab w:val="left" w:pos="3060"/>
              </w:tabs>
              <w:spacing w:before="20" w:after="20"/>
              <w:jc w:val="center"/>
              <w:rPr>
                <w:rFonts w:ascii="Arial" w:hAnsi="Arial" w:cs="Arial"/>
                <w:b/>
                <w:sz w:val="22"/>
                <w:szCs w:val="22"/>
              </w:rPr>
            </w:pPr>
            <w:r w:rsidRPr="00175972">
              <w:rPr>
                <w:rFonts w:ascii="Arial" w:hAnsi="Arial" w:cs="Arial"/>
                <w:b/>
                <w:sz w:val="22"/>
                <w:szCs w:val="22"/>
              </w:rPr>
              <w:t>Odborný léčebný ústav Jevíčko</w:t>
            </w:r>
          </w:p>
        </w:tc>
        <w:tc>
          <w:tcPr>
            <w:tcW w:w="4747" w:type="dxa"/>
            <w:shd w:val="clear" w:color="auto" w:fill="auto"/>
            <w:vAlign w:val="center"/>
          </w:tcPr>
          <w:p w:rsidR="003A52B3" w:rsidRPr="00AA1BC6" w:rsidRDefault="00AA1BC6" w:rsidP="00AA1BC6">
            <w:pPr>
              <w:pStyle w:val="Zkladntext"/>
              <w:spacing w:before="20" w:after="20"/>
              <w:jc w:val="center"/>
              <w:rPr>
                <w:rFonts w:ascii="Arial" w:hAnsi="Arial" w:cs="Arial"/>
                <w:color w:val="auto"/>
                <w:sz w:val="22"/>
                <w:szCs w:val="22"/>
              </w:rPr>
            </w:pPr>
            <w:r w:rsidRPr="00AA1BC6">
              <w:rPr>
                <w:rFonts w:ascii="Arial" w:hAnsi="Arial" w:cs="Arial"/>
                <w:b/>
                <w:color w:val="auto"/>
                <w:sz w:val="22"/>
                <w:szCs w:val="22"/>
              </w:rPr>
              <w:t>Ing. Ivo Hejduk</w:t>
            </w:r>
          </w:p>
        </w:tc>
      </w:tr>
      <w:tr w:rsidR="003A52B3" w:rsidRPr="00CC70ED" w:rsidTr="00CC70ED">
        <w:tc>
          <w:tcPr>
            <w:tcW w:w="4747" w:type="dxa"/>
            <w:shd w:val="clear" w:color="auto" w:fill="auto"/>
            <w:vAlign w:val="center"/>
          </w:tcPr>
          <w:p w:rsidR="00804B06" w:rsidRPr="00175972" w:rsidRDefault="00175972" w:rsidP="00804B06">
            <w:pPr>
              <w:pStyle w:val="Zkladntext"/>
              <w:tabs>
                <w:tab w:val="left" w:pos="3060"/>
              </w:tabs>
              <w:spacing w:before="20" w:after="20"/>
              <w:jc w:val="center"/>
              <w:rPr>
                <w:rFonts w:ascii="Arial" w:hAnsi="Arial" w:cs="Arial"/>
                <w:color w:val="auto"/>
                <w:sz w:val="22"/>
                <w:szCs w:val="22"/>
              </w:rPr>
            </w:pPr>
            <w:r w:rsidRPr="00175972">
              <w:rPr>
                <w:rFonts w:ascii="Arial" w:hAnsi="Arial" w:cs="Arial"/>
                <w:color w:val="auto"/>
                <w:sz w:val="22"/>
                <w:szCs w:val="22"/>
              </w:rPr>
              <w:t>Bc. Naděžda Ivkovičová</w:t>
            </w:r>
          </w:p>
          <w:p w:rsidR="00804B06" w:rsidRPr="00175972" w:rsidRDefault="00175972" w:rsidP="00804B06">
            <w:pPr>
              <w:pStyle w:val="Zkladntext"/>
              <w:tabs>
                <w:tab w:val="left" w:pos="3060"/>
              </w:tabs>
              <w:spacing w:before="20" w:after="20"/>
              <w:jc w:val="center"/>
              <w:rPr>
                <w:rFonts w:ascii="Arial" w:hAnsi="Arial" w:cs="Arial"/>
                <w:color w:val="auto"/>
                <w:sz w:val="22"/>
                <w:szCs w:val="22"/>
              </w:rPr>
            </w:pPr>
            <w:r w:rsidRPr="00175972">
              <w:rPr>
                <w:rFonts w:ascii="Arial" w:hAnsi="Arial" w:cs="Arial"/>
                <w:color w:val="auto"/>
                <w:sz w:val="22"/>
                <w:szCs w:val="22"/>
              </w:rPr>
              <w:t>Pověřená řízením ústavu</w:t>
            </w:r>
          </w:p>
          <w:p w:rsidR="003A52B3" w:rsidRPr="00175972" w:rsidRDefault="003A52B3" w:rsidP="00204BB8">
            <w:pPr>
              <w:pStyle w:val="Zkladntext"/>
              <w:tabs>
                <w:tab w:val="left" w:pos="3060"/>
              </w:tabs>
              <w:spacing w:before="20" w:after="20"/>
              <w:rPr>
                <w:rFonts w:ascii="Arial" w:hAnsi="Arial" w:cs="Arial"/>
                <w:color w:val="auto"/>
                <w:sz w:val="22"/>
                <w:szCs w:val="22"/>
              </w:rPr>
            </w:pPr>
          </w:p>
        </w:tc>
        <w:tc>
          <w:tcPr>
            <w:tcW w:w="4747" w:type="dxa"/>
            <w:shd w:val="clear" w:color="auto" w:fill="auto"/>
            <w:vAlign w:val="center"/>
          </w:tcPr>
          <w:p w:rsidR="003A52B3" w:rsidRPr="00CC70ED" w:rsidRDefault="00AA1BC6" w:rsidP="00CC70ED">
            <w:pPr>
              <w:pStyle w:val="Zkladntext"/>
              <w:tabs>
                <w:tab w:val="left" w:pos="3060"/>
              </w:tabs>
              <w:spacing w:before="20" w:after="20"/>
              <w:jc w:val="center"/>
              <w:rPr>
                <w:rFonts w:ascii="Arial" w:hAnsi="Arial" w:cs="Arial"/>
                <w:color w:val="auto"/>
                <w:sz w:val="22"/>
                <w:szCs w:val="22"/>
              </w:rPr>
            </w:pPr>
            <w:r>
              <w:rPr>
                <w:rFonts w:ascii="Arial" w:hAnsi="Arial" w:cs="Arial"/>
                <w:color w:val="auto"/>
                <w:sz w:val="22"/>
                <w:szCs w:val="22"/>
              </w:rPr>
              <w:t>Jednatel</w:t>
            </w:r>
          </w:p>
        </w:tc>
      </w:tr>
      <w:tr w:rsidR="003A52B3" w:rsidRPr="00CC70ED" w:rsidTr="00CC70ED">
        <w:tc>
          <w:tcPr>
            <w:tcW w:w="4747" w:type="dxa"/>
            <w:shd w:val="clear" w:color="auto" w:fill="auto"/>
            <w:vAlign w:val="center"/>
          </w:tcPr>
          <w:p w:rsidR="00C55CE6" w:rsidRPr="00C54C19" w:rsidRDefault="00C55CE6" w:rsidP="00804B06">
            <w:pPr>
              <w:pStyle w:val="Zkladntext"/>
              <w:tabs>
                <w:tab w:val="left" w:pos="3060"/>
              </w:tabs>
              <w:spacing w:before="20" w:after="20"/>
              <w:rPr>
                <w:rFonts w:ascii="Arial" w:hAnsi="Arial" w:cs="Arial"/>
                <w:color w:val="auto"/>
                <w:sz w:val="22"/>
                <w:szCs w:val="22"/>
                <w:highlight w:val="magenta"/>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bl>
    <w:p w:rsidR="0044619C" w:rsidRDefault="0044619C" w:rsidP="001105EA">
      <w:pPr>
        <w:pStyle w:val="Zkladntext"/>
        <w:rPr>
          <w:rFonts w:ascii="Arial" w:hAnsi="Arial" w:cs="Arial"/>
          <w:color w:val="auto"/>
          <w:sz w:val="22"/>
          <w:szCs w:val="22"/>
        </w:rPr>
      </w:pPr>
    </w:p>
    <w:sectPr w:rsidR="0044619C" w:rsidSect="00C979E8">
      <w:headerReference w:type="default" r:id="rId11"/>
      <w:footerReference w:type="even" r:id="rId12"/>
      <w:footerReference w:type="default" r:id="rId13"/>
      <w:footerReference w:type="first" r:id="rId14"/>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F7" w:rsidRDefault="007575F7">
      <w:r>
        <w:separator/>
      </w:r>
    </w:p>
  </w:endnote>
  <w:endnote w:type="continuationSeparator" w:id="0">
    <w:p w:rsidR="007575F7" w:rsidRDefault="0075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E">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4169" w:rsidRDefault="004741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rsidR="00474169" w:rsidRPr="00C979E8" w:rsidRDefault="00474169"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00243BD5">
      <w:rPr>
        <w:rStyle w:val="slostrnky"/>
        <w:rFonts w:ascii="Arial" w:hAnsi="Arial" w:cs="Arial"/>
        <w:sz w:val="18"/>
        <w:szCs w:val="18"/>
      </w:rPr>
      <w:t xml:space="preserve"> </w:t>
    </w:r>
    <w:r w:rsidR="00243BD5" w:rsidRPr="00243BD5">
      <w:rPr>
        <w:rFonts w:ascii="Arial" w:hAnsi="Arial" w:cs="Arial"/>
        <w:szCs w:val="32"/>
      </w:rPr>
      <w:t>2021/ST/TDI1</w:t>
    </w:r>
    <w:r w:rsidRPr="00C979E8">
      <w:rPr>
        <w:rStyle w:val="slostrnky"/>
        <w:rFonts w:ascii="Arial" w:hAnsi="Arial" w:cs="Arial"/>
        <w:sz w:val="18"/>
        <w:szCs w:val="18"/>
      </w:rPr>
      <w:t xml:space="preserve"> </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956EDF">
      <w:rPr>
        <w:rStyle w:val="slostrnky"/>
        <w:rFonts w:ascii="Arial" w:hAnsi="Arial" w:cs="Arial"/>
        <w:noProof/>
        <w:sz w:val="18"/>
        <w:szCs w:val="18"/>
      </w:rPr>
      <w:t>2</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956EDF">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E8" w:rsidRPr="00243BD5" w:rsidRDefault="00C979E8" w:rsidP="00C979E8">
    <w:pPr>
      <w:pStyle w:val="Zpat"/>
      <w:pBdr>
        <w:bottom w:val="single" w:sz="6" w:space="1" w:color="auto"/>
      </w:pBdr>
      <w:tabs>
        <w:tab w:val="clear" w:pos="4536"/>
        <w:tab w:val="center" w:pos="4140"/>
      </w:tabs>
      <w:rPr>
        <w:rStyle w:val="slostrnky"/>
        <w:rFonts w:ascii="Arial" w:hAnsi="Arial" w:cs="Arial"/>
      </w:rPr>
    </w:pPr>
  </w:p>
  <w:p w:rsidR="00C979E8" w:rsidRPr="00C979E8" w:rsidRDefault="00C979E8" w:rsidP="00C979E8">
    <w:pPr>
      <w:pStyle w:val="Zpat"/>
      <w:tabs>
        <w:tab w:val="clear" w:pos="9072"/>
        <w:tab w:val="right" w:pos="9354"/>
      </w:tabs>
      <w:jc w:val="both"/>
      <w:rPr>
        <w:rFonts w:ascii="Arial" w:hAnsi="Arial" w:cs="Arial"/>
        <w:sz w:val="18"/>
        <w:szCs w:val="18"/>
      </w:rPr>
    </w:pPr>
    <w:proofErr w:type="spellStart"/>
    <w:r w:rsidRPr="00243BD5">
      <w:rPr>
        <w:rStyle w:val="slostrnky"/>
        <w:rFonts w:ascii="Arial" w:hAnsi="Arial" w:cs="Arial"/>
        <w:sz w:val="18"/>
        <w:szCs w:val="18"/>
      </w:rPr>
      <w:t>SoPS</w:t>
    </w:r>
    <w:proofErr w:type="spellEnd"/>
    <w:r w:rsidRPr="00243BD5">
      <w:rPr>
        <w:rStyle w:val="slostrnky"/>
        <w:rFonts w:ascii="Arial" w:hAnsi="Arial" w:cs="Arial"/>
        <w:sz w:val="18"/>
        <w:szCs w:val="18"/>
      </w:rPr>
      <w:t xml:space="preserve"> č.</w:t>
    </w:r>
    <w:r w:rsidR="00243BD5">
      <w:rPr>
        <w:rStyle w:val="slostrnky"/>
        <w:rFonts w:ascii="Arial" w:hAnsi="Arial" w:cs="Arial"/>
        <w:sz w:val="18"/>
        <w:szCs w:val="18"/>
      </w:rPr>
      <w:t xml:space="preserve"> </w:t>
    </w:r>
    <w:r w:rsidR="00243BD5" w:rsidRPr="00243BD5">
      <w:rPr>
        <w:rFonts w:ascii="Arial" w:hAnsi="Arial" w:cs="Arial"/>
        <w:szCs w:val="32"/>
      </w:rPr>
      <w:t>2021/ST/TDI1</w:t>
    </w:r>
    <w:r w:rsidRPr="00C979E8">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956EDF">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956EDF">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F7" w:rsidRDefault="007575F7">
      <w:r>
        <w:separator/>
      </w:r>
    </w:p>
  </w:footnote>
  <w:footnote w:type="continuationSeparator" w:id="0">
    <w:p w:rsidR="007575F7" w:rsidRDefault="0075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69" w:rsidRPr="00C86CF0" w:rsidRDefault="00243BD5" w:rsidP="00C86CF0">
    <w:pPr>
      <w:pStyle w:val="Zhlav"/>
      <w:tabs>
        <w:tab w:val="clear" w:pos="4536"/>
        <w:tab w:val="clear" w:pos="9072"/>
        <w:tab w:val="left" w:pos="7830"/>
      </w:tabs>
      <w:rPr>
        <w:rFonts w:ascii="Arial" w:hAnsi="Arial" w:cs="Arial"/>
        <w:sz w:val="24"/>
        <w:szCs w:val="24"/>
      </w:rPr>
    </w:pPr>
    <w:r>
      <w:rPr>
        <w:rFonts w:ascii="Arial" w:hAnsi="Arial" w:cs="Arial"/>
        <w:sz w:val="24"/>
        <w:szCs w:val="24"/>
        <w:u w:val="single"/>
      </w:rPr>
      <w:t>Odborný léčebný ústav Jevíčko_____________________________</w:t>
    </w:r>
    <w:r w:rsidR="00474169">
      <w:rPr>
        <w:rFonts w:ascii="Arial" w:hAnsi="Arial" w:cs="Arial"/>
        <w:sz w:val="24"/>
        <w:szCs w:val="24"/>
      </w:rPr>
      <w:t>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EEC47B1"/>
    <w:multiLevelType w:val="multilevel"/>
    <w:tmpl w:val="91E8F84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
    <w:nsid w:val="301F432B"/>
    <w:multiLevelType w:val="hybridMultilevel"/>
    <w:tmpl w:val="91E8F842"/>
    <w:lvl w:ilvl="0" w:tplc="673C09D6">
      <w:start w:val="1"/>
      <w:numFmt w:val="decimal"/>
      <w:lvlText w:val="%1."/>
      <w:lvlJc w:val="left"/>
      <w:pPr>
        <w:ind w:left="502"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1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11">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3">
    <w:nsid w:val="64735B40"/>
    <w:multiLevelType w:val="hybridMultilevel"/>
    <w:tmpl w:val="B2F4C8EA"/>
    <w:lvl w:ilvl="0" w:tplc="401A8C4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abstractNum w:abstractNumId="15">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6">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3"/>
  </w:num>
  <w:num w:numId="10">
    <w:abstractNumId w:val="2"/>
  </w:num>
  <w:num w:numId="11">
    <w:abstractNumId w:val="10"/>
  </w:num>
  <w:num w:numId="12">
    <w:abstractNumId w:val="5"/>
  </w:num>
  <w:num w:numId="13">
    <w:abstractNumId w:val="11"/>
  </w:num>
  <w:num w:numId="14">
    <w:abstractNumId w:val="6"/>
  </w:num>
  <w:num w:numId="15">
    <w:abstractNumId w:val="8"/>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86"/>
    <w:rsid w:val="00000CC5"/>
    <w:rsid w:val="000059C6"/>
    <w:rsid w:val="000112A2"/>
    <w:rsid w:val="000115C6"/>
    <w:rsid w:val="00013668"/>
    <w:rsid w:val="000140DE"/>
    <w:rsid w:val="00016304"/>
    <w:rsid w:val="00020B30"/>
    <w:rsid w:val="0002612E"/>
    <w:rsid w:val="00035AB2"/>
    <w:rsid w:val="00036308"/>
    <w:rsid w:val="00043F45"/>
    <w:rsid w:val="00047778"/>
    <w:rsid w:val="00062947"/>
    <w:rsid w:val="000636D6"/>
    <w:rsid w:val="00063F86"/>
    <w:rsid w:val="000653B8"/>
    <w:rsid w:val="00072784"/>
    <w:rsid w:val="000730BF"/>
    <w:rsid w:val="0007518E"/>
    <w:rsid w:val="000763DE"/>
    <w:rsid w:val="00077E72"/>
    <w:rsid w:val="0008327E"/>
    <w:rsid w:val="00085DFF"/>
    <w:rsid w:val="0009718F"/>
    <w:rsid w:val="000A4CF3"/>
    <w:rsid w:val="000C2502"/>
    <w:rsid w:val="000C27DD"/>
    <w:rsid w:val="000C5577"/>
    <w:rsid w:val="000C7651"/>
    <w:rsid w:val="000E2831"/>
    <w:rsid w:val="000E44C5"/>
    <w:rsid w:val="000F73D7"/>
    <w:rsid w:val="0010132B"/>
    <w:rsid w:val="001015D2"/>
    <w:rsid w:val="00103D36"/>
    <w:rsid w:val="00103F9B"/>
    <w:rsid w:val="001105EA"/>
    <w:rsid w:val="0011414D"/>
    <w:rsid w:val="00114394"/>
    <w:rsid w:val="00124045"/>
    <w:rsid w:val="00124C77"/>
    <w:rsid w:val="00126C17"/>
    <w:rsid w:val="00127850"/>
    <w:rsid w:val="00130760"/>
    <w:rsid w:val="00132554"/>
    <w:rsid w:val="00146BBD"/>
    <w:rsid w:val="00150E8B"/>
    <w:rsid w:val="00152A20"/>
    <w:rsid w:val="00152A6C"/>
    <w:rsid w:val="00155D4C"/>
    <w:rsid w:val="001568A4"/>
    <w:rsid w:val="00163A74"/>
    <w:rsid w:val="001706A3"/>
    <w:rsid w:val="00175972"/>
    <w:rsid w:val="0018256B"/>
    <w:rsid w:val="00183506"/>
    <w:rsid w:val="001837B2"/>
    <w:rsid w:val="00194AB6"/>
    <w:rsid w:val="00197801"/>
    <w:rsid w:val="001A25D9"/>
    <w:rsid w:val="001A2AC6"/>
    <w:rsid w:val="001A539F"/>
    <w:rsid w:val="001A5A49"/>
    <w:rsid w:val="001B14AE"/>
    <w:rsid w:val="001B7122"/>
    <w:rsid w:val="001C1D49"/>
    <w:rsid w:val="001D1ADA"/>
    <w:rsid w:val="001D30E9"/>
    <w:rsid w:val="001D3CAF"/>
    <w:rsid w:val="001D7572"/>
    <w:rsid w:val="001E159F"/>
    <w:rsid w:val="001E1ADB"/>
    <w:rsid w:val="001E3777"/>
    <w:rsid w:val="001E7A16"/>
    <w:rsid w:val="001F162F"/>
    <w:rsid w:val="001F2C00"/>
    <w:rsid w:val="001F544C"/>
    <w:rsid w:val="00204BB8"/>
    <w:rsid w:val="002052FC"/>
    <w:rsid w:val="00205897"/>
    <w:rsid w:val="00212EF6"/>
    <w:rsid w:val="002359B9"/>
    <w:rsid w:val="00235C96"/>
    <w:rsid w:val="00241AD8"/>
    <w:rsid w:val="00243388"/>
    <w:rsid w:val="00243BD5"/>
    <w:rsid w:val="00246565"/>
    <w:rsid w:val="00247A02"/>
    <w:rsid w:val="0026173D"/>
    <w:rsid w:val="0026174A"/>
    <w:rsid w:val="002655C0"/>
    <w:rsid w:val="0027151A"/>
    <w:rsid w:val="00277148"/>
    <w:rsid w:val="002837D7"/>
    <w:rsid w:val="0028478E"/>
    <w:rsid w:val="002858BD"/>
    <w:rsid w:val="00286B6B"/>
    <w:rsid w:val="00290369"/>
    <w:rsid w:val="00294D2B"/>
    <w:rsid w:val="002A0E0C"/>
    <w:rsid w:val="002A273C"/>
    <w:rsid w:val="002A3995"/>
    <w:rsid w:val="002A7AED"/>
    <w:rsid w:val="002A7D8D"/>
    <w:rsid w:val="002B26E5"/>
    <w:rsid w:val="002B41D2"/>
    <w:rsid w:val="002B6CDC"/>
    <w:rsid w:val="002B75AB"/>
    <w:rsid w:val="002B7CD5"/>
    <w:rsid w:val="002C1A91"/>
    <w:rsid w:val="002C71D6"/>
    <w:rsid w:val="002E0056"/>
    <w:rsid w:val="002F5759"/>
    <w:rsid w:val="002F5D73"/>
    <w:rsid w:val="003008AD"/>
    <w:rsid w:val="00304C7A"/>
    <w:rsid w:val="00312B7F"/>
    <w:rsid w:val="0031338C"/>
    <w:rsid w:val="00327544"/>
    <w:rsid w:val="00331BC4"/>
    <w:rsid w:val="003338C9"/>
    <w:rsid w:val="00362430"/>
    <w:rsid w:val="00364022"/>
    <w:rsid w:val="00365379"/>
    <w:rsid w:val="00366190"/>
    <w:rsid w:val="003740E2"/>
    <w:rsid w:val="00381EA2"/>
    <w:rsid w:val="00383EC6"/>
    <w:rsid w:val="0038599F"/>
    <w:rsid w:val="003971A2"/>
    <w:rsid w:val="003A1C63"/>
    <w:rsid w:val="003A237C"/>
    <w:rsid w:val="003A52B3"/>
    <w:rsid w:val="003A6E3B"/>
    <w:rsid w:val="003C1C41"/>
    <w:rsid w:val="003D02AA"/>
    <w:rsid w:val="003D12FA"/>
    <w:rsid w:val="003D2749"/>
    <w:rsid w:val="003D53B8"/>
    <w:rsid w:val="003E31AD"/>
    <w:rsid w:val="003E329C"/>
    <w:rsid w:val="003F1283"/>
    <w:rsid w:val="003F2494"/>
    <w:rsid w:val="003F2E36"/>
    <w:rsid w:val="0041635B"/>
    <w:rsid w:val="004268CA"/>
    <w:rsid w:val="00434B16"/>
    <w:rsid w:val="00436BD7"/>
    <w:rsid w:val="0043738B"/>
    <w:rsid w:val="0043749B"/>
    <w:rsid w:val="00443F0C"/>
    <w:rsid w:val="004455BC"/>
    <w:rsid w:val="004457C3"/>
    <w:rsid w:val="0044619C"/>
    <w:rsid w:val="00454493"/>
    <w:rsid w:val="0046017D"/>
    <w:rsid w:val="00470E91"/>
    <w:rsid w:val="00470F64"/>
    <w:rsid w:val="00471D4B"/>
    <w:rsid w:val="00474169"/>
    <w:rsid w:val="00484285"/>
    <w:rsid w:val="00485E90"/>
    <w:rsid w:val="0049067A"/>
    <w:rsid w:val="004909B3"/>
    <w:rsid w:val="004949F3"/>
    <w:rsid w:val="004A01CF"/>
    <w:rsid w:val="004A1CA6"/>
    <w:rsid w:val="004A7C25"/>
    <w:rsid w:val="004B7942"/>
    <w:rsid w:val="004C7999"/>
    <w:rsid w:val="004D1F15"/>
    <w:rsid w:val="004D6008"/>
    <w:rsid w:val="004E5F13"/>
    <w:rsid w:val="004F43E2"/>
    <w:rsid w:val="004F5A39"/>
    <w:rsid w:val="0051055F"/>
    <w:rsid w:val="005106C8"/>
    <w:rsid w:val="005122F3"/>
    <w:rsid w:val="00512AF1"/>
    <w:rsid w:val="0051681F"/>
    <w:rsid w:val="00516E17"/>
    <w:rsid w:val="00524D62"/>
    <w:rsid w:val="005264CE"/>
    <w:rsid w:val="00527384"/>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70B7"/>
    <w:rsid w:val="005966DD"/>
    <w:rsid w:val="005A375C"/>
    <w:rsid w:val="005A5218"/>
    <w:rsid w:val="005A53E8"/>
    <w:rsid w:val="005A5C3E"/>
    <w:rsid w:val="005A76F9"/>
    <w:rsid w:val="005B2AEE"/>
    <w:rsid w:val="005B2EEB"/>
    <w:rsid w:val="005C4986"/>
    <w:rsid w:val="005E2642"/>
    <w:rsid w:val="005E32E4"/>
    <w:rsid w:val="005F02CD"/>
    <w:rsid w:val="005F2D8B"/>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1F3E"/>
    <w:rsid w:val="0066211B"/>
    <w:rsid w:val="00662BDB"/>
    <w:rsid w:val="00664968"/>
    <w:rsid w:val="006665FA"/>
    <w:rsid w:val="006743D2"/>
    <w:rsid w:val="0069226A"/>
    <w:rsid w:val="006A04AD"/>
    <w:rsid w:val="006A4509"/>
    <w:rsid w:val="006B1500"/>
    <w:rsid w:val="006B1983"/>
    <w:rsid w:val="006B3637"/>
    <w:rsid w:val="006C2E65"/>
    <w:rsid w:val="006C5BB3"/>
    <w:rsid w:val="006D62CB"/>
    <w:rsid w:val="006D7F79"/>
    <w:rsid w:val="00701FDD"/>
    <w:rsid w:val="00703D0F"/>
    <w:rsid w:val="0070673C"/>
    <w:rsid w:val="00711545"/>
    <w:rsid w:val="00715FC0"/>
    <w:rsid w:val="00721E60"/>
    <w:rsid w:val="00725949"/>
    <w:rsid w:val="007349FE"/>
    <w:rsid w:val="00734F95"/>
    <w:rsid w:val="007429F5"/>
    <w:rsid w:val="00753F17"/>
    <w:rsid w:val="007548F4"/>
    <w:rsid w:val="007575F7"/>
    <w:rsid w:val="007676BB"/>
    <w:rsid w:val="007729F7"/>
    <w:rsid w:val="00774706"/>
    <w:rsid w:val="007753F3"/>
    <w:rsid w:val="00777DE3"/>
    <w:rsid w:val="0078632D"/>
    <w:rsid w:val="0079010D"/>
    <w:rsid w:val="007915C7"/>
    <w:rsid w:val="007A191E"/>
    <w:rsid w:val="007A2B89"/>
    <w:rsid w:val="007A4847"/>
    <w:rsid w:val="007B068D"/>
    <w:rsid w:val="007B0E1E"/>
    <w:rsid w:val="007B0FEE"/>
    <w:rsid w:val="007B2A6A"/>
    <w:rsid w:val="007B2ED6"/>
    <w:rsid w:val="007B74DC"/>
    <w:rsid w:val="007C0CFF"/>
    <w:rsid w:val="007C3C2A"/>
    <w:rsid w:val="007D2DE9"/>
    <w:rsid w:val="007D4BA4"/>
    <w:rsid w:val="007D6ACE"/>
    <w:rsid w:val="007E4C7A"/>
    <w:rsid w:val="007F3CE5"/>
    <w:rsid w:val="007F42AC"/>
    <w:rsid w:val="008014AB"/>
    <w:rsid w:val="0080265F"/>
    <w:rsid w:val="00804B06"/>
    <w:rsid w:val="00814D7D"/>
    <w:rsid w:val="00822A42"/>
    <w:rsid w:val="00824C77"/>
    <w:rsid w:val="008317EE"/>
    <w:rsid w:val="00841BA9"/>
    <w:rsid w:val="00844362"/>
    <w:rsid w:val="00845154"/>
    <w:rsid w:val="00845775"/>
    <w:rsid w:val="00854DFB"/>
    <w:rsid w:val="00855859"/>
    <w:rsid w:val="00856BEC"/>
    <w:rsid w:val="008607B4"/>
    <w:rsid w:val="00861463"/>
    <w:rsid w:val="008728DA"/>
    <w:rsid w:val="00873956"/>
    <w:rsid w:val="008748D4"/>
    <w:rsid w:val="00891355"/>
    <w:rsid w:val="00892054"/>
    <w:rsid w:val="008A0075"/>
    <w:rsid w:val="008A3D2C"/>
    <w:rsid w:val="008B3E92"/>
    <w:rsid w:val="008B5CEA"/>
    <w:rsid w:val="008C688F"/>
    <w:rsid w:val="008E0D89"/>
    <w:rsid w:val="008E0F92"/>
    <w:rsid w:val="008E3C84"/>
    <w:rsid w:val="008F473F"/>
    <w:rsid w:val="008F73D8"/>
    <w:rsid w:val="00904141"/>
    <w:rsid w:val="0090429E"/>
    <w:rsid w:val="00905002"/>
    <w:rsid w:val="00933FB7"/>
    <w:rsid w:val="00941488"/>
    <w:rsid w:val="009523CA"/>
    <w:rsid w:val="009559DA"/>
    <w:rsid w:val="0095676F"/>
    <w:rsid w:val="00956C00"/>
    <w:rsid w:val="00956EDF"/>
    <w:rsid w:val="00964739"/>
    <w:rsid w:val="00965C22"/>
    <w:rsid w:val="009722F3"/>
    <w:rsid w:val="009769D6"/>
    <w:rsid w:val="00987FA5"/>
    <w:rsid w:val="0099514C"/>
    <w:rsid w:val="009954BB"/>
    <w:rsid w:val="009A1FAC"/>
    <w:rsid w:val="009A43F2"/>
    <w:rsid w:val="009B35C0"/>
    <w:rsid w:val="009B4DF0"/>
    <w:rsid w:val="009B69ED"/>
    <w:rsid w:val="009C1C61"/>
    <w:rsid w:val="009C7C36"/>
    <w:rsid w:val="009F63CC"/>
    <w:rsid w:val="00A01460"/>
    <w:rsid w:val="00A13F78"/>
    <w:rsid w:val="00A16FD8"/>
    <w:rsid w:val="00A21ED4"/>
    <w:rsid w:val="00A32BDB"/>
    <w:rsid w:val="00A34D4A"/>
    <w:rsid w:val="00A460D2"/>
    <w:rsid w:val="00A46A5C"/>
    <w:rsid w:val="00A50166"/>
    <w:rsid w:val="00A538F6"/>
    <w:rsid w:val="00A569EF"/>
    <w:rsid w:val="00A60795"/>
    <w:rsid w:val="00A64981"/>
    <w:rsid w:val="00A65C43"/>
    <w:rsid w:val="00A72CD8"/>
    <w:rsid w:val="00A93604"/>
    <w:rsid w:val="00A94E65"/>
    <w:rsid w:val="00A94F58"/>
    <w:rsid w:val="00AA1BC6"/>
    <w:rsid w:val="00AA2714"/>
    <w:rsid w:val="00AA4A66"/>
    <w:rsid w:val="00AA6EB9"/>
    <w:rsid w:val="00AB12C9"/>
    <w:rsid w:val="00AB5284"/>
    <w:rsid w:val="00AC5B30"/>
    <w:rsid w:val="00AD0A61"/>
    <w:rsid w:val="00AD100F"/>
    <w:rsid w:val="00AD761A"/>
    <w:rsid w:val="00AE0BBB"/>
    <w:rsid w:val="00AE3833"/>
    <w:rsid w:val="00AF5DBC"/>
    <w:rsid w:val="00AF6816"/>
    <w:rsid w:val="00AF68FB"/>
    <w:rsid w:val="00B02431"/>
    <w:rsid w:val="00B07125"/>
    <w:rsid w:val="00B14C22"/>
    <w:rsid w:val="00B16C82"/>
    <w:rsid w:val="00B201E6"/>
    <w:rsid w:val="00B20F09"/>
    <w:rsid w:val="00B22F3A"/>
    <w:rsid w:val="00B23024"/>
    <w:rsid w:val="00B240C5"/>
    <w:rsid w:val="00B31AD1"/>
    <w:rsid w:val="00B340A5"/>
    <w:rsid w:val="00B36DA9"/>
    <w:rsid w:val="00B373AE"/>
    <w:rsid w:val="00B474F3"/>
    <w:rsid w:val="00B554B8"/>
    <w:rsid w:val="00B56495"/>
    <w:rsid w:val="00B56E22"/>
    <w:rsid w:val="00B570EB"/>
    <w:rsid w:val="00B62E1E"/>
    <w:rsid w:val="00B67013"/>
    <w:rsid w:val="00B71B38"/>
    <w:rsid w:val="00B74346"/>
    <w:rsid w:val="00B75778"/>
    <w:rsid w:val="00B85040"/>
    <w:rsid w:val="00B90BCB"/>
    <w:rsid w:val="00BA1732"/>
    <w:rsid w:val="00BA2347"/>
    <w:rsid w:val="00BB2432"/>
    <w:rsid w:val="00BC063D"/>
    <w:rsid w:val="00BC5B12"/>
    <w:rsid w:val="00BC601A"/>
    <w:rsid w:val="00BD0291"/>
    <w:rsid w:val="00BD312F"/>
    <w:rsid w:val="00BD6822"/>
    <w:rsid w:val="00BD7D51"/>
    <w:rsid w:val="00BE1259"/>
    <w:rsid w:val="00BF0D2C"/>
    <w:rsid w:val="00BF547C"/>
    <w:rsid w:val="00C04A91"/>
    <w:rsid w:val="00C0668E"/>
    <w:rsid w:val="00C06834"/>
    <w:rsid w:val="00C279DE"/>
    <w:rsid w:val="00C32256"/>
    <w:rsid w:val="00C3787D"/>
    <w:rsid w:val="00C53C12"/>
    <w:rsid w:val="00C53C14"/>
    <w:rsid w:val="00C54C19"/>
    <w:rsid w:val="00C55CE6"/>
    <w:rsid w:val="00C678C8"/>
    <w:rsid w:val="00C70BDC"/>
    <w:rsid w:val="00C7555E"/>
    <w:rsid w:val="00C75B49"/>
    <w:rsid w:val="00C76BB7"/>
    <w:rsid w:val="00C81C41"/>
    <w:rsid w:val="00C86C64"/>
    <w:rsid w:val="00C86CF0"/>
    <w:rsid w:val="00C87C1C"/>
    <w:rsid w:val="00C90193"/>
    <w:rsid w:val="00C952FE"/>
    <w:rsid w:val="00C957C1"/>
    <w:rsid w:val="00C979E8"/>
    <w:rsid w:val="00CA26D7"/>
    <w:rsid w:val="00CA3CBD"/>
    <w:rsid w:val="00CA4F1E"/>
    <w:rsid w:val="00CB09FD"/>
    <w:rsid w:val="00CB3BBB"/>
    <w:rsid w:val="00CB638B"/>
    <w:rsid w:val="00CC0A48"/>
    <w:rsid w:val="00CC70ED"/>
    <w:rsid w:val="00CD679B"/>
    <w:rsid w:val="00CE1FC4"/>
    <w:rsid w:val="00CE3845"/>
    <w:rsid w:val="00CE69E6"/>
    <w:rsid w:val="00CE701B"/>
    <w:rsid w:val="00CE7320"/>
    <w:rsid w:val="00CF2DAB"/>
    <w:rsid w:val="00D00897"/>
    <w:rsid w:val="00D0245A"/>
    <w:rsid w:val="00D06466"/>
    <w:rsid w:val="00D10962"/>
    <w:rsid w:val="00D14B5F"/>
    <w:rsid w:val="00D207C8"/>
    <w:rsid w:val="00D210B3"/>
    <w:rsid w:val="00D246CB"/>
    <w:rsid w:val="00D24FE7"/>
    <w:rsid w:val="00D2567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754A"/>
    <w:rsid w:val="00DA13A2"/>
    <w:rsid w:val="00DA4481"/>
    <w:rsid w:val="00DB1797"/>
    <w:rsid w:val="00DB678F"/>
    <w:rsid w:val="00DC55DD"/>
    <w:rsid w:val="00DD400F"/>
    <w:rsid w:val="00DD58C7"/>
    <w:rsid w:val="00DD62D5"/>
    <w:rsid w:val="00DE3725"/>
    <w:rsid w:val="00DF1462"/>
    <w:rsid w:val="00DF3D1B"/>
    <w:rsid w:val="00E01D28"/>
    <w:rsid w:val="00E04D86"/>
    <w:rsid w:val="00E106D9"/>
    <w:rsid w:val="00E170B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B58E4"/>
    <w:rsid w:val="00EC2A7A"/>
    <w:rsid w:val="00EC6666"/>
    <w:rsid w:val="00ED055F"/>
    <w:rsid w:val="00ED4D04"/>
    <w:rsid w:val="00ED6AF0"/>
    <w:rsid w:val="00EF214C"/>
    <w:rsid w:val="00EF7957"/>
    <w:rsid w:val="00F00247"/>
    <w:rsid w:val="00F044CC"/>
    <w:rsid w:val="00F06913"/>
    <w:rsid w:val="00F12A1E"/>
    <w:rsid w:val="00F12F89"/>
    <w:rsid w:val="00F16412"/>
    <w:rsid w:val="00F1669F"/>
    <w:rsid w:val="00F1735D"/>
    <w:rsid w:val="00F23980"/>
    <w:rsid w:val="00F259B4"/>
    <w:rsid w:val="00F31E18"/>
    <w:rsid w:val="00F34F64"/>
    <w:rsid w:val="00F35668"/>
    <w:rsid w:val="00F42337"/>
    <w:rsid w:val="00F473DC"/>
    <w:rsid w:val="00F5435D"/>
    <w:rsid w:val="00F54888"/>
    <w:rsid w:val="00F81D25"/>
    <w:rsid w:val="00F967E5"/>
    <w:rsid w:val="00FA4490"/>
    <w:rsid w:val="00FB323B"/>
    <w:rsid w:val="00FC3CDD"/>
    <w:rsid w:val="00FC7F4C"/>
    <w:rsid w:val="00FD371B"/>
    <w:rsid w:val="00FD6E86"/>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44619C"/>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44619C"/>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lujevicko.cz" TargetMode="External"/><Relationship Id="rId4" Type="http://schemas.microsoft.com/office/2007/relationships/stylesWithEffects" Target="stylesWithEffects.xml"/><Relationship Id="rId9" Type="http://schemas.openxmlformats.org/officeDocument/2006/relationships/hyperlink" Target="https://zakazky.pardubickykraj.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D6C4-FD7D-4A4F-BEA4-B6580B62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2866</Words>
  <Characters>16913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19740</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mottlova</dc:creator>
  <cp:lastModifiedBy>Staněk Antonín, Ing.</cp:lastModifiedBy>
  <cp:revision>3</cp:revision>
  <cp:lastPrinted>2021-08-13T11:44:00Z</cp:lastPrinted>
  <dcterms:created xsi:type="dcterms:W3CDTF">2021-08-13T11:45:00Z</dcterms:created>
  <dcterms:modified xsi:type="dcterms:W3CDTF">2021-08-17T06:33:00Z</dcterms:modified>
</cp:coreProperties>
</file>