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1C" w:rsidRDefault="00BC221C" w:rsidP="00BF2C3F">
      <w:pPr>
        <w:spacing w:line="276" w:lineRule="auto"/>
        <w:jc w:val="both"/>
        <w:rPr>
          <w:rFonts w:cs="Times New Roman"/>
        </w:rPr>
      </w:pPr>
      <w:bookmarkStart w:id="0" w:name="_GoBack"/>
      <w:bookmarkEnd w:id="0"/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F02C99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E35D2B" w:rsidRPr="00F02C99">
        <w:rPr>
          <w:rFonts w:cs="Times New Roman"/>
          <w:bCs/>
        </w:rPr>
        <w:t xml:space="preserve">Mgr. </w:t>
      </w:r>
      <w:r w:rsidR="00F02C99">
        <w:rPr>
          <w:rFonts w:cs="Times New Roman"/>
          <w:bCs/>
        </w:rPr>
        <w:t>Adamem Švejdou</w:t>
      </w:r>
      <w:r w:rsidRPr="00F02C99">
        <w:rPr>
          <w:rFonts w:cs="Times New Roman"/>
          <w:bCs/>
        </w:rPr>
        <w:t xml:space="preserve">, </w:t>
      </w:r>
      <w:r w:rsidR="00F02C99">
        <w:rPr>
          <w:rFonts w:cs="Times New Roman"/>
          <w:bCs/>
        </w:rPr>
        <w:t>zástupce ředitele pro ekonomickou a provozní činnost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F02C99">
        <w:rPr>
          <w:rFonts w:cs="Times New Roman"/>
          <w:bCs/>
        </w:rPr>
        <w:t>sídlo: Vyšehradská 57, 128 00 Praha 2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843EB0" w:rsidRPr="00F47ADB" w:rsidRDefault="00843EB0" w:rsidP="00843EB0">
      <w:pPr>
        <w:spacing w:line="276" w:lineRule="auto"/>
        <w:ind w:left="284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</w:p>
    <w:p w:rsidR="00B8583E" w:rsidRDefault="00843EB0" w:rsidP="00843EB0">
      <w:pPr>
        <w:pStyle w:val="Zkladntext"/>
        <w:spacing w:line="276" w:lineRule="auto"/>
        <w:ind w:left="284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</w:p>
    <w:p w:rsidR="00DB0698" w:rsidRPr="0060154C" w:rsidRDefault="00DB0698" w:rsidP="00843EB0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07550F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B56306" w:rsidRDefault="00B56306" w:rsidP="00BF2C3F">
      <w:pPr>
        <w:spacing w:line="276" w:lineRule="auto"/>
        <w:rPr>
          <w:rFonts w:cs="Times New Roman"/>
          <w:bCs/>
        </w:rPr>
      </w:pPr>
    </w:p>
    <w:p w:rsidR="00DA6E4E" w:rsidRPr="003E1967" w:rsidRDefault="00F02C99" w:rsidP="00BF2C3F">
      <w:pPr>
        <w:spacing w:line="276" w:lineRule="auto"/>
        <w:rPr>
          <w:rFonts w:cs="Times New Roman"/>
          <w:b/>
          <w:bCs/>
        </w:rPr>
      </w:pPr>
      <w:r w:rsidRPr="003E1967">
        <w:rPr>
          <w:rFonts w:cs="Times New Roman"/>
          <w:b/>
          <w:bCs/>
        </w:rPr>
        <w:t>Tomos Praha a.s.</w:t>
      </w:r>
    </w:p>
    <w:p w:rsidR="00B56306" w:rsidRPr="003E1967" w:rsidRDefault="00B56306" w:rsidP="00BF2C3F">
      <w:pPr>
        <w:spacing w:line="276" w:lineRule="auto"/>
        <w:rPr>
          <w:rFonts w:cs="Times New Roman"/>
          <w:b/>
          <w:bCs/>
        </w:rPr>
      </w:pP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F02C99">
        <w:rPr>
          <w:rFonts w:cs="Times New Roman"/>
          <w:bCs/>
        </w:rPr>
        <w:t>Jan Sekerka, místopředseda představenstva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F02C99">
        <w:rPr>
          <w:rFonts w:cs="Times New Roman"/>
        </w:rPr>
        <w:t>Ohradní 1079/59, 140 00 Praha 4</w:t>
      </w:r>
    </w:p>
    <w:p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F02C99">
        <w:rPr>
          <w:rFonts w:cs="Times New Roman"/>
        </w:rPr>
        <w:t>u Městského soudu v Praze, spisová značka B 1503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F02C99">
        <w:rPr>
          <w:rFonts w:cs="Times New Roman"/>
        </w:rPr>
        <w:t>45273561</w:t>
      </w:r>
    </w:p>
    <w:p w:rsidR="00F02C9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DIČ: </w:t>
      </w:r>
      <w:r w:rsidR="00F02C99">
        <w:rPr>
          <w:rFonts w:cs="Times New Roman"/>
        </w:rPr>
        <w:t>CZ45273561</w:t>
      </w:r>
    </w:p>
    <w:p w:rsidR="00B8583E" w:rsidRDefault="00F02C99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B</w:t>
      </w:r>
      <w:r w:rsidR="00D353D9" w:rsidRPr="0060154C">
        <w:rPr>
          <w:rFonts w:cs="Times New Roman"/>
        </w:rPr>
        <w:t xml:space="preserve">ankovní spojení: </w:t>
      </w:r>
    </w:p>
    <w:p w:rsidR="00D353D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</w:p>
    <w:p w:rsidR="00F02C99" w:rsidRDefault="00347907" w:rsidP="00F02C99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Pr="001C2399">
        <w:rPr>
          <w:rFonts w:cs="Times New Roman"/>
        </w:rPr>
        <w:t>je</w:t>
      </w:r>
      <w:r w:rsidR="00F02C99">
        <w:rPr>
          <w:rFonts w:cs="Times New Roman"/>
        </w:rPr>
        <w:t xml:space="preserve"> plátcem DPH</w:t>
      </w:r>
    </w:p>
    <w:p w:rsidR="00651395" w:rsidRPr="0060154C" w:rsidRDefault="00651395" w:rsidP="00F02C99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  <w:r w:rsidR="00560B19">
        <w:rPr>
          <w:rFonts w:cs="Times New Roman"/>
        </w:rPr>
        <w:t xml:space="preserve"> </w:t>
      </w:r>
    </w:p>
    <w:p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</w:t>
      </w:r>
      <w:r w:rsidRPr="00E53A99">
        <w:rPr>
          <w:rFonts w:cs="Times New Roman"/>
        </w:rPr>
        <w:t xml:space="preserve">a </w:t>
      </w:r>
      <w:r w:rsidR="008B3E0C" w:rsidRPr="00E53A99">
        <w:rPr>
          <w:rFonts w:cs="Times New Roman"/>
        </w:rPr>
        <w:t xml:space="preserve">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F75F74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„občanský zákoník“) tuto</w:t>
      </w:r>
    </w:p>
    <w:p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:rsidR="00B56306" w:rsidRPr="0060154C" w:rsidRDefault="00B56306" w:rsidP="0007550F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07550F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  <w:r w:rsidR="00C23D84">
        <w:rPr>
          <w:rFonts w:cs="Times New Roman"/>
          <w:b/>
          <w:sz w:val="28"/>
        </w:rPr>
        <w:t xml:space="preserve"> </w:t>
      </w:r>
    </w:p>
    <w:p w:rsidR="00DB0698" w:rsidRDefault="00DB0698" w:rsidP="0007550F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</w:t>
      </w:r>
      <w:r w:rsidR="00B56306">
        <w:rPr>
          <w:rFonts w:cs="Times New Roman"/>
        </w:rPr>
        <w:t> </w:t>
      </w:r>
      <w:r w:rsidRPr="00BE2197">
        <w:rPr>
          <w:rFonts w:cs="Times New Roman"/>
        </w:rPr>
        <w:t>názvem</w:t>
      </w:r>
    </w:p>
    <w:p w:rsidR="00B56306" w:rsidRDefault="00B56306" w:rsidP="0007550F">
      <w:pPr>
        <w:spacing w:after="120" w:line="276" w:lineRule="auto"/>
        <w:jc w:val="center"/>
        <w:rPr>
          <w:rFonts w:cs="Times New Roman"/>
        </w:rPr>
      </w:pPr>
    </w:p>
    <w:p w:rsidR="00DB0698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F02C99">
        <w:rPr>
          <w:rFonts w:cs="Times New Roman"/>
          <w:b/>
        </w:rPr>
        <w:t>Výroba konvolutu Územně analytické podklady 2020</w:t>
      </w:r>
      <w:r w:rsidRPr="00BE2197">
        <w:rPr>
          <w:rFonts w:cs="Times New Roman"/>
          <w:b/>
          <w:bCs/>
        </w:rPr>
        <w:t>“</w:t>
      </w:r>
    </w:p>
    <w:p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EF2BD1">
        <w:rPr>
          <w:rFonts w:cs="Times New Roman"/>
          <w:bCs/>
        </w:rPr>
        <w:t>(dále jen „</w:t>
      </w:r>
      <w:r w:rsidRPr="00EF2BD1">
        <w:rPr>
          <w:rFonts w:cs="Times New Roman"/>
          <w:b/>
          <w:bCs/>
        </w:rPr>
        <w:t>smlouva</w:t>
      </w:r>
      <w:r w:rsidRPr="00EF2BD1">
        <w:rPr>
          <w:rFonts w:cs="Times New Roman"/>
          <w:bCs/>
        </w:rPr>
        <w:t>“)</w:t>
      </w:r>
    </w:p>
    <w:p w:rsidR="004D120F" w:rsidRDefault="004D120F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3375C0" w:rsidRPr="006B7311" w:rsidRDefault="003375C0" w:rsidP="0007550F">
      <w:pPr>
        <w:pStyle w:val="Nadpis2"/>
        <w:spacing w:before="0" w:line="276" w:lineRule="auto"/>
      </w:pPr>
      <w:r w:rsidRPr="006B7311">
        <w:lastRenderedPageBreak/>
        <w:t>Preambule</w:t>
      </w:r>
    </w:p>
    <w:p w:rsidR="00D01187" w:rsidRDefault="00D01187" w:rsidP="0019045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uzavírají smlouvu na základě výsledku zadávání veřejné zakázky malého rozsahu s názvem „</w:t>
      </w:r>
      <w:r w:rsidR="00F02C99" w:rsidRPr="00F02C99">
        <w:rPr>
          <w:rFonts w:cs="Times New Roman"/>
        </w:rPr>
        <w:t>Výroba konvolutu Územně analytické podklady 2020</w:t>
      </w:r>
      <w:r>
        <w:rPr>
          <w:rFonts w:cs="Times New Roman"/>
        </w:rPr>
        <w:t xml:space="preserve">“, zadávanou objednatelem jako veřejným zadavatelem </w:t>
      </w:r>
      <w:r w:rsidRPr="00E15CEF">
        <w:rPr>
          <w:rFonts w:cs="Times New Roman"/>
        </w:rPr>
        <w:t xml:space="preserve">v souladu s ustanovením § 6 zákona č. 134/2016 Sb., o zadávání veřejných zakázek, ve znění pozdějších předpisů, a dále s vnitřní směrnicí s názvem Pravidla pro zadávání veřejných zakázek, pod interním číslem </w:t>
      </w:r>
      <w:r w:rsidRPr="00E15CEF">
        <w:rPr>
          <w:rFonts w:cs="Times New Roman"/>
          <w:b/>
        </w:rPr>
        <w:t>ZAK</w:t>
      </w:r>
      <w:r w:rsidR="00F02C99">
        <w:rPr>
          <w:rFonts w:cs="Times New Roman"/>
          <w:b/>
        </w:rPr>
        <w:t xml:space="preserve"> 21-0</w:t>
      </w:r>
      <w:r w:rsidR="0019045E">
        <w:rPr>
          <w:rFonts w:cs="Times New Roman"/>
          <w:b/>
        </w:rPr>
        <w:t>157</w:t>
      </w:r>
      <w:r w:rsidRPr="00E15CEF">
        <w:rPr>
          <w:rFonts w:cs="Times New Roman"/>
        </w:rPr>
        <w:t xml:space="preserve"> (dále jen „</w:t>
      </w:r>
      <w:r w:rsidRPr="00FA2282">
        <w:rPr>
          <w:rFonts w:cs="Times New Roman"/>
          <w:b/>
        </w:rPr>
        <w:t>zadávací řízení</w:t>
      </w:r>
      <w:r w:rsidRPr="00E15CEF">
        <w:rPr>
          <w:rFonts w:cs="Times New Roman"/>
        </w:rPr>
        <w:t>“ a „</w:t>
      </w:r>
      <w:r w:rsidRPr="00FA2282">
        <w:rPr>
          <w:rFonts w:cs="Times New Roman"/>
          <w:b/>
        </w:rPr>
        <w:t>veřejná zakázka</w:t>
      </w:r>
      <w:r w:rsidRPr="00E15CEF">
        <w:rPr>
          <w:rFonts w:cs="Times New Roman"/>
        </w:rPr>
        <w:t xml:space="preserve">“), v němž byla </w:t>
      </w:r>
      <w:r w:rsidRPr="004B1406">
        <w:rPr>
          <w:rFonts w:cs="Times New Roman"/>
        </w:rPr>
        <w:t>nabídka zhotovitele vybrána</w:t>
      </w:r>
      <w:r>
        <w:rPr>
          <w:rFonts w:cs="Times New Roman"/>
        </w:rPr>
        <w:t xml:space="preserve"> jako nejvýhodnější. </w:t>
      </w:r>
    </w:p>
    <w:p w:rsidR="00341B38" w:rsidRDefault="00341B38" w:rsidP="0007550F">
      <w:pPr>
        <w:spacing w:after="120" w:line="276" w:lineRule="auto"/>
        <w:jc w:val="both"/>
        <w:rPr>
          <w:rFonts w:cs="Times New Roman"/>
        </w:rPr>
      </w:pPr>
      <w:r w:rsidRPr="00341B38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  <w:r>
        <w:rPr>
          <w:rFonts w:cs="Times New Roman"/>
        </w:rPr>
        <w:t xml:space="preserve"> </w:t>
      </w:r>
    </w:p>
    <w:p w:rsidR="001147E2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>
        <w:rPr>
          <w:rFonts w:cs="Times New Roman"/>
        </w:rPr>
        <w:t xml:space="preserve"> zakázky, zejména i splnění a dodržení všech kvalifikačních požadavků objednatele</w:t>
      </w:r>
      <w:r w:rsidR="00341B38">
        <w:rPr>
          <w:rFonts w:cs="Times New Roman"/>
        </w:rPr>
        <w:t>,</w:t>
      </w:r>
      <w:r w:rsidR="001147E2">
        <w:rPr>
          <w:rFonts w:cs="Times New Roman"/>
        </w:rPr>
        <w:t xml:space="preserve"> </w:t>
      </w:r>
      <w:r w:rsidR="00027440">
        <w:rPr>
          <w:rFonts w:cs="Times New Roman"/>
        </w:rPr>
        <w:t xml:space="preserve">které v zadávacím řízení </w:t>
      </w:r>
      <w:r w:rsidR="001147E2">
        <w:rPr>
          <w:rFonts w:cs="Times New Roman"/>
        </w:rPr>
        <w:t>prokáza</w:t>
      </w:r>
      <w:r w:rsidR="00027440">
        <w:rPr>
          <w:rFonts w:cs="Times New Roman"/>
        </w:rPr>
        <w:t>l.</w:t>
      </w:r>
      <w:r w:rsidR="001147E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C2487A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Pro vyloučení jakýchkoliv pochybností </w:t>
      </w:r>
      <w:r w:rsidR="001147E2">
        <w:t xml:space="preserve">o vztahu </w:t>
      </w:r>
      <w:r w:rsidR="009E4AB3">
        <w:t>s</w:t>
      </w:r>
      <w:r w:rsidR="001147E2">
        <w:t>mlouvy a zadávací dokumentace zakázky jsou stanovená tato výkladová pravidla</w:t>
      </w:r>
      <w:r>
        <w:rPr>
          <w:rFonts w:cs="Times New Roman"/>
        </w:rPr>
        <w:t>:</w:t>
      </w:r>
    </w:p>
    <w:p w:rsidR="009C0728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V případě jakékoliv nejistoty ohledně výkladu ustanovení </w:t>
      </w:r>
      <w:r w:rsidR="009E4AB3">
        <w:rPr>
          <w:rFonts w:cs="Times New Roman"/>
        </w:rPr>
        <w:t>s</w:t>
      </w:r>
      <w:r>
        <w:rPr>
          <w:rFonts w:cs="Times New Roman"/>
        </w:rPr>
        <w:t xml:space="preserve">mlouvy budou tato ustanovení vykládána tak, aby v co nejširší míře zohledňovala účel </w:t>
      </w:r>
      <w:r w:rsidR="001147E2">
        <w:rPr>
          <w:rFonts w:cs="Times New Roman"/>
        </w:rPr>
        <w:t>z</w:t>
      </w:r>
      <w:r>
        <w:rPr>
          <w:rFonts w:cs="Times New Roman"/>
        </w:rPr>
        <w:t>akázky vyjádřený zadávací dokumentací</w:t>
      </w:r>
      <w:r w:rsidR="00D01187">
        <w:rPr>
          <w:rFonts w:cs="Times New Roman"/>
        </w:rPr>
        <w:t>.</w:t>
      </w:r>
    </w:p>
    <w:p w:rsidR="00341B38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9C0728">
        <w:rPr>
          <w:rFonts w:cs="Times New Roman"/>
        </w:rPr>
        <w:t xml:space="preserve"> případě chybějících ustanovení </w:t>
      </w:r>
      <w:r w:rsidR="009E4AB3">
        <w:rPr>
          <w:rFonts w:cs="Times New Roman"/>
        </w:rPr>
        <w:t>s</w:t>
      </w:r>
      <w:r w:rsidR="009C0728">
        <w:rPr>
          <w:rFonts w:cs="Times New Roman"/>
        </w:rPr>
        <w:t>mlouvy budou použita dostatečně konkrétní ustanovení zadávací dokumentace</w:t>
      </w:r>
      <w:r>
        <w:rPr>
          <w:rFonts w:cs="Times New Roman"/>
        </w:rPr>
        <w:t>.</w:t>
      </w:r>
      <w:r w:rsidR="00341B38">
        <w:rPr>
          <w:rFonts w:cs="Times New Roman"/>
        </w:rPr>
        <w:t xml:space="preserve"> </w:t>
      </w:r>
    </w:p>
    <w:p w:rsidR="00341B38" w:rsidRDefault="000868C1" w:rsidP="008F7133">
      <w:pPr>
        <w:numPr>
          <w:ilvl w:val="0"/>
          <w:numId w:val="14"/>
        </w:numPr>
        <w:spacing w:after="120" w:line="276" w:lineRule="auto"/>
        <w:jc w:val="both"/>
      </w:pPr>
      <w:r w:rsidRPr="000868C1">
        <w:rPr>
          <w:rFonts w:cs="Times New Roman"/>
        </w:rPr>
        <w:t>V</w:t>
      </w:r>
      <w:r w:rsidR="00341B38">
        <w:t xml:space="preserve"> případě rozporu mezi ustanoveními </w:t>
      </w:r>
      <w:r w:rsidR="009E4AB3">
        <w:t>s</w:t>
      </w:r>
      <w:r w:rsidR="00341B38">
        <w:t xml:space="preserve">mlouvy a zadávací dokumentace budou mít </w:t>
      </w:r>
      <w:r>
        <w:t>přednost ustanovení</w:t>
      </w:r>
      <w:r w:rsidR="00341B38">
        <w:t xml:space="preserve"> </w:t>
      </w:r>
      <w:r w:rsidR="009E4AB3">
        <w:t>s</w:t>
      </w:r>
      <w:r w:rsidR="00341B38">
        <w:t>mlouvy.</w:t>
      </w:r>
      <w:r w:rsidR="004E27BA">
        <w:t xml:space="preserve"> </w:t>
      </w:r>
    </w:p>
    <w:p w:rsidR="00341B38" w:rsidRPr="00341B38" w:rsidRDefault="00341B38" w:rsidP="00AD6852">
      <w:pPr>
        <w:spacing w:after="120" w:line="276" w:lineRule="auto"/>
        <w:jc w:val="both"/>
        <w:rPr>
          <w:rFonts w:cs="Times New Roman"/>
        </w:rPr>
      </w:pPr>
      <w:r w:rsidRPr="00341B38">
        <w:rPr>
          <w:rFonts w:cs="Times New Roman"/>
        </w:rPr>
        <w:t>Účelem této smlouvy je</w:t>
      </w:r>
      <w:r w:rsidR="00631C30">
        <w:rPr>
          <w:rFonts w:cs="Times New Roman"/>
        </w:rPr>
        <w:t xml:space="preserve"> </w:t>
      </w:r>
      <w:r w:rsidR="00CC40B9" w:rsidRPr="00F02C99">
        <w:rPr>
          <w:rFonts w:cs="Times New Roman"/>
        </w:rPr>
        <w:t>Výroba konvolutu Územně analytické podklady 2020</w:t>
      </w:r>
      <w:r w:rsidR="00CC40B9">
        <w:rPr>
          <w:rFonts w:cs="Times New Roman"/>
        </w:rPr>
        <w:t xml:space="preserve"> </w:t>
      </w:r>
      <w:r w:rsidR="00C514F8">
        <w:rPr>
          <w:rFonts w:cs="Times New Roman"/>
        </w:rPr>
        <w:t>(dále jen „</w:t>
      </w:r>
      <w:r w:rsidR="00CC40B9">
        <w:rPr>
          <w:rFonts w:cs="Times New Roman"/>
        </w:rPr>
        <w:t>výroba konvolutu</w:t>
      </w:r>
      <w:r w:rsidR="00C514F8">
        <w:rPr>
          <w:rFonts w:cs="Times New Roman"/>
        </w:rPr>
        <w:t>“)</w:t>
      </w:r>
      <w:r w:rsidR="001015E7">
        <w:rPr>
          <w:rFonts w:cs="Times New Roman"/>
        </w:rPr>
        <w:t>.</w:t>
      </w:r>
      <w:r w:rsidR="00631C30">
        <w:rPr>
          <w:rFonts w:cs="Times New Roman"/>
        </w:rPr>
        <w:t xml:space="preserve"> </w:t>
      </w:r>
      <w:r w:rsidR="001015E7">
        <w:rPr>
          <w:rFonts w:cs="Times New Roman"/>
        </w:rPr>
        <w:t xml:space="preserve"> </w:t>
      </w:r>
    </w:p>
    <w:p w:rsidR="003375C0" w:rsidRPr="00BE2197" w:rsidRDefault="003375C0" w:rsidP="0007550F">
      <w:pPr>
        <w:spacing w:after="120" w:line="276" w:lineRule="auto"/>
        <w:ind w:hanging="284"/>
        <w:jc w:val="center"/>
        <w:rPr>
          <w:rFonts w:cs="Times New Roman"/>
        </w:rPr>
      </w:pPr>
    </w:p>
    <w:p w:rsidR="00DB0698" w:rsidRDefault="001D54B4" w:rsidP="0007550F">
      <w:pPr>
        <w:pStyle w:val="Nadpis2"/>
        <w:spacing w:before="0" w:line="276" w:lineRule="auto"/>
      </w:pPr>
      <w:r w:rsidRPr="00BE2197">
        <w:t xml:space="preserve">I. </w:t>
      </w:r>
      <w:r w:rsidR="00DB0698" w:rsidRPr="00BE2197">
        <w:t>Předmět smlouvy</w:t>
      </w:r>
    </w:p>
    <w:p w:rsidR="003D691C" w:rsidRPr="003D691C" w:rsidRDefault="003D691C" w:rsidP="0007550F">
      <w:pPr>
        <w:pStyle w:val="Zkladntext"/>
        <w:spacing w:after="120" w:line="276" w:lineRule="auto"/>
      </w:pPr>
    </w:p>
    <w:p w:rsidR="006E510B" w:rsidRPr="00925B78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DB0698" w:rsidRPr="00BE2197">
        <w:rPr>
          <w:rFonts w:cs="Times New Roman"/>
        </w:rPr>
        <w:t xml:space="preserve">hotovitel </w:t>
      </w:r>
      <w:r>
        <w:rPr>
          <w:rFonts w:cs="Times New Roman"/>
        </w:rPr>
        <w:t xml:space="preserve">se zavazuje </w:t>
      </w:r>
      <w:r w:rsidR="00C514F8">
        <w:rPr>
          <w:rFonts w:cs="Times New Roman"/>
        </w:rPr>
        <w:t>provést</w:t>
      </w:r>
      <w:r w:rsidR="00DB0698" w:rsidRPr="00BE2197">
        <w:rPr>
          <w:rFonts w:cs="Times New Roman"/>
        </w:rPr>
        <w:t xml:space="preserve"> pro objednatele</w:t>
      </w:r>
      <w:r w:rsidR="004D120F">
        <w:rPr>
          <w:rFonts w:cs="Times New Roman"/>
        </w:rPr>
        <w:t>, v souladu s jeho požadavky, v</w:t>
      </w:r>
      <w:r w:rsidR="00FC4A3E">
        <w:rPr>
          <w:rFonts w:cs="Times New Roman"/>
        </w:rPr>
        <w:t> </w:t>
      </w:r>
      <w:r w:rsidR="00EC098B">
        <w:rPr>
          <w:rFonts w:cs="Times New Roman"/>
        </w:rPr>
        <w:t>termínu</w:t>
      </w:r>
      <w:r w:rsidR="00FC4A3E">
        <w:rPr>
          <w:rFonts w:cs="Times New Roman"/>
        </w:rPr>
        <w:t xml:space="preserve"> a</w:t>
      </w:r>
      <w:r w:rsidR="004D120F">
        <w:rPr>
          <w:rFonts w:cs="Times New Roman"/>
        </w:rPr>
        <w:t xml:space="preserve"> rozsahu</w:t>
      </w:r>
      <w:r w:rsidR="00074727">
        <w:rPr>
          <w:rFonts w:cs="Times New Roman"/>
        </w:rPr>
        <w:t>, vymezen</w:t>
      </w:r>
      <w:r w:rsidR="00FC4A3E">
        <w:rPr>
          <w:rFonts w:cs="Times New Roman"/>
        </w:rPr>
        <w:t>ých</w:t>
      </w:r>
      <w:r w:rsidR="00074727">
        <w:rPr>
          <w:rFonts w:cs="Times New Roman"/>
        </w:rPr>
        <w:t xml:space="preserve"> dále v tomto článku,</w:t>
      </w:r>
      <w:r w:rsidR="004D120F">
        <w:rPr>
          <w:rFonts w:cs="Times New Roman"/>
        </w:rPr>
        <w:t xml:space="preserve"> a za podmínek sjednaných ve smlouvě, </w:t>
      </w:r>
      <w:r w:rsidR="00074727">
        <w:rPr>
          <w:rFonts w:cs="Times New Roman"/>
        </w:rPr>
        <w:t xml:space="preserve">vlastním jménem, </w:t>
      </w:r>
      <w:r w:rsidR="005B3A40" w:rsidRPr="00BE2197">
        <w:rPr>
          <w:rFonts w:cs="Times New Roman"/>
        </w:rPr>
        <w:t xml:space="preserve">na svůj náklad </w:t>
      </w:r>
      <w:r w:rsidR="00074727">
        <w:rPr>
          <w:rFonts w:cs="Times New Roman"/>
        </w:rPr>
        <w:t xml:space="preserve">a na vlastní odpovědnost </w:t>
      </w:r>
      <w:r w:rsidR="005B3A40" w:rsidRPr="00BE2197">
        <w:rPr>
          <w:rFonts w:cs="Times New Roman"/>
        </w:rPr>
        <w:t xml:space="preserve">a nebezpečí </w:t>
      </w:r>
      <w:r w:rsidR="00DB0698" w:rsidRPr="00BE2197">
        <w:rPr>
          <w:rFonts w:cs="Times New Roman"/>
        </w:rPr>
        <w:t xml:space="preserve">dílo, které spočívá </w:t>
      </w:r>
      <w:r w:rsidR="005B3A40" w:rsidRPr="00BE2197">
        <w:rPr>
          <w:rFonts w:cs="Times New Roman"/>
        </w:rPr>
        <w:t>v</w:t>
      </w:r>
      <w:r w:rsidR="00837F6B">
        <w:rPr>
          <w:rFonts w:cs="Times New Roman"/>
        </w:rPr>
        <w:t>e</w:t>
      </w:r>
      <w:r w:rsidR="00CC40B9" w:rsidRPr="00CC40B9">
        <w:rPr>
          <w:rFonts w:cs="Times New Roman"/>
        </w:rPr>
        <w:t xml:space="preserve"> </w:t>
      </w:r>
      <w:r w:rsidR="00CC40B9" w:rsidRPr="00F02C99">
        <w:rPr>
          <w:rFonts w:cs="Times New Roman"/>
        </w:rPr>
        <w:t>Výrob</w:t>
      </w:r>
      <w:r w:rsidR="00CC40B9">
        <w:rPr>
          <w:rFonts w:cs="Times New Roman"/>
        </w:rPr>
        <w:t>ě</w:t>
      </w:r>
      <w:r w:rsidR="00CC40B9" w:rsidRPr="00F02C99">
        <w:rPr>
          <w:rFonts w:cs="Times New Roman"/>
        </w:rPr>
        <w:t xml:space="preserve"> konvolutu Územně analytické podklady 2020</w:t>
      </w:r>
      <w:r w:rsidR="00C514F8">
        <w:rPr>
          <w:rFonts w:cs="Times New Roman"/>
        </w:rPr>
        <w:t xml:space="preserve"> </w:t>
      </w:r>
      <w:r w:rsidR="00074727">
        <w:rPr>
          <w:rFonts w:cs="Times New Roman"/>
        </w:rPr>
        <w:t xml:space="preserve">způsobilé k využití a účelu vymezenému smlouvou </w:t>
      </w:r>
      <w:r w:rsidR="00074727" w:rsidRPr="00BE2197">
        <w:rPr>
          <w:rFonts w:cs="Times New Roman"/>
        </w:rPr>
        <w:t xml:space="preserve">(dále jen </w:t>
      </w:r>
      <w:r w:rsidR="00074727" w:rsidRPr="001C2399">
        <w:rPr>
          <w:rFonts w:cs="Times New Roman"/>
          <w:b/>
        </w:rPr>
        <w:t>„dílo“</w:t>
      </w:r>
      <w:r w:rsidR="00074727" w:rsidRPr="00BE2197">
        <w:rPr>
          <w:rFonts w:cs="Times New Roman"/>
        </w:rPr>
        <w:t xml:space="preserve"> nebo </w:t>
      </w:r>
      <w:r w:rsidR="00074727" w:rsidRPr="001C2399">
        <w:rPr>
          <w:rFonts w:cs="Times New Roman"/>
          <w:b/>
        </w:rPr>
        <w:t>„předmět smlouvy“</w:t>
      </w:r>
      <w:r w:rsidR="00074727" w:rsidRPr="00BE2197">
        <w:rPr>
          <w:rFonts w:cs="Times New Roman"/>
        </w:rPr>
        <w:t>)</w:t>
      </w:r>
      <w:r>
        <w:rPr>
          <w:rFonts w:cs="Times New Roman"/>
        </w:rPr>
        <w:t>.</w:t>
      </w:r>
    </w:p>
    <w:p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:rsidR="00DB0698" w:rsidRDefault="001D54B4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>Podrobná specifikace předmětu smlouvy</w:t>
      </w:r>
      <w:r w:rsidR="00CC40B9">
        <w:rPr>
          <w:rFonts w:cs="Times New Roman"/>
        </w:rPr>
        <w:t>: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</w:t>
      </w:r>
      <w:r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edm</w:t>
      </w:r>
      <w:r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tem ve</w:t>
      </w:r>
      <w:r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 xml:space="preserve">ejné zakázky je výroba konvolutu o </w:t>
      </w:r>
      <w:r w:rsidR="00B533A3">
        <w:rPr>
          <w:rFonts w:eastAsia="Calibri" w:cs="Times New Roman"/>
        </w:rPr>
        <w:t>č</w:t>
      </w:r>
      <w:r w:rsidRPr="00A804C5">
        <w:rPr>
          <w:rFonts w:eastAsia="Calibri" w:cs="Times New Roman"/>
        </w:rPr>
        <w:t>trnácti svazcích Územn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 xml:space="preserve"> analytických podklad</w:t>
      </w:r>
      <w:r w:rsidR="00B533A3">
        <w:rPr>
          <w:rFonts w:eastAsia="Calibri" w:cs="Times New Roman"/>
        </w:rPr>
        <w:t xml:space="preserve">ů </w:t>
      </w:r>
      <w:r w:rsidRPr="00A804C5">
        <w:rPr>
          <w:rFonts w:eastAsia="Calibri" w:cs="Times New Roman"/>
        </w:rPr>
        <w:t>2020.</w:t>
      </w:r>
    </w:p>
    <w:p w:rsidR="00A804C5" w:rsidRPr="00A804C5" w:rsidRDefault="00A804C5" w:rsidP="00A804C5">
      <w:pPr>
        <w:pStyle w:val="Zkladntextodsazen21"/>
        <w:spacing w:line="276" w:lineRule="auto"/>
        <w:ind w:left="0"/>
        <w:jc w:val="both"/>
        <w:rPr>
          <w:rFonts w:eastAsia="Calibri" w:cs="Times New Roman"/>
        </w:rPr>
      </w:pPr>
      <w:r w:rsidRPr="00A804C5">
        <w:rPr>
          <w:rFonts w:eastAsia="Calibri" w:cs="Times New Roman"/>
        </w:rPr>
        <w:t>Svazky pro obec (13 svazk</w:t>
      </w:r>
      <w:r w:rsidR="00B533A3">
        <w:rPr>
          <w:rFonts w:eastAsia="Calibri" w:cs="Times New Roman"/>
        </w:rPr>
        <w:t>ů</w:t>
      </w:r>
      <w:r w:rsidRPr="00A804C5">
        <w:rPr>
          <w:rFonts w:eastAsia="Calibri" w:cs="Times New Roman"/>
        </w:rPr>
        <w:t>) a pro kraj (1 svazek).</w:t>
      </w:r>
    </w:p>
    <w:p w:rsidR="00A804C5" w:rsidRPr="00A804C5" w:rsidRDefault="00A804C5" w:rsidP="00A804C5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lastRenderedPageBreak/>
        <w:t>Specifikace tisku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sada: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14 knih (každá jiný rozsah)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1 papírový box pro 13 knih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1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ebal na knihu s chlopn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mi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Knihy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formát: 200 x 260 mm</w:t>
      </w:r>
    </w:p>
    <w:p w:rsidR="00B533A3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rozsah: 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000 – 60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050 – 118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100 – 122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200 – 162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300 – 102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400 – 116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500 – 34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600 – 140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700 – 108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800 – 122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900 – 60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1000 – 126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kniha </w:t>
      </w:r>
      <w:proofErr w:type="gramStart"/>
      <w:r w:rsidRPr="00A804C5">
        <w:rPr>
          <w:rFonts w:eastAsia="Calibri" w:cs="Times New Roman"/>
        </w:rPr>
        <w:t>1100 – 260</w:t>
      </w:r>
      <w:proofErr w:type="gramEnd"/>
      <w:r w:rsidRPr="00A804C5">
        <w:rPr>
          <w:rFonts w:eastAsia="Calibri" w:cs="Times New Roman"/>
        </w:rPr>
        <w:t xml:space="preserve">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kniha KRAJ – 250 stran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materiál: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desky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ední a zadní: lepenka 1,5 mm pokašírovaná 140 gr ofsetem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ední a zadní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edsádka: ofsetový papír 300 g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vnit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ní listy: ofsetový papír 120 g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plát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ný štítek: bílé plátno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barevnost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desky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ední a zadní: 4/0 + laminace 1/0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ední a zadní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edsádka: 4/0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vnit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ní listy: 4/4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plát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ný štítek: 1/0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kniha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ské zpracování: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 xml:space="preserve">knižní blok šitý bílou </w:t>
      </w:r>
      <w:proofErr w:type="gramStart"/>
      <w:r w:rsidRPr="00A804C5">
        <w:rPr>
          <w:rFonts w:eastAsia="Calibri" w:cs="Times New Roman"/>
        </w:rPr>
        <w:t>nití - otev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ený</w:t>
      </w:r>
      <w:proofErr w:type="gramEnd"/>
      <w:r w:rsidRPr="00A804C5">
        <w:rPr>
          <w:rFonts w:eastAsia="Calibri" w:cs="Times New Roman"/>
        </w:rPr>
        <w:t xml:space="preserve"> h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bet, nalepení 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edsádek, plát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ný štítek nalepený pres h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bet,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kašírování desek, nalepení na blok, o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ez na formát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Šubr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rozm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r: cca 200 x 260 x 220 mm (dle tlouš</w:t>
      </w:r>
      <w:r w:rsidR="00B533A3">
        <w:rPr>
          <w:rFonts w:eastAsia="Calibri" w:cs="Times New Roman"/>
        </w:rPr>
        <w:t>ť</w:t>
      </w:r>
      <w:r w:rsidRPr="00A804C5">
        <w:rPr>
          <w:rFonts w:eastAsia="Calibri" w:cs="Times New Roman"/>
        </w:rPr>
        <w:t>ky h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betu)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materiál: bílá lepenka, potah 140 gr ofset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barevnost: 1/0 + lamino 1/0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provedení: potisk, výsek kruh cca 120 mm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ebal na knihu s chlopn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mi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P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ebal na knihu KRAJ (250 stran)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formát: cca 700 x 260 mm (dle tlouš</w:t>
      </w:r>
      <w:r w:rsidR="00B533A3">
        <w:rPr>
          <w:rFonts w:eastAsia="Calibri" w:cs="Times New Roman"/>
        </w:rPr>
        <w:t>ť</w:t>
      </w:r>
      <w:r w:rsidRPr="00A804C5">
        <w:rPr>
          <w:rFonts w:eastAsia="Calibri" w:cs="Times New Roman"/>
        </w:rPr>
        <w:t>ky h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betu)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materiál obálka: ofsetový papír 300 g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barevnost: 1/0 + lamino 1/0</w:t>
      </w:r>
    </w:p>
    <w:p w:rsidR="00A804C5" w:rsidRPr="00A804C5" w:rsidRDefault="00A804C5" w:rsidP="00A804C5">
      <w:pPr>
        <w:autoSpaceDE w:val="0"/>
        <w:autoSpaceDN w:val="0"/>
        <w:adjustRightInd w:val="0"/>
        <w:rPr>
          <w:rFonts w:eastAsia="Calibri" w:cs="Times New Roman"/>
        </w:rPr>
      </w:pPr>
      <w:r w:rsidRPr="00A804C5">
        <w:rPr>
          <w:rFonts w:eastAsia="Calibri" w:cs="Times New Roman"/>
        </w:rPr>
        <w:t>kniha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ské zpracování: 5x bigování – h</w:t>
      </w:r>
      <w:r w:rsidR="00B533A3">
        <w:rPr>
          <w:rFonts w:eastAsia="Calibri" w:cs="Times New Roman"/>
        </w:rPr>
        <w:t>ř</w:t>
      </w:r>
      <w:r w:rsidRPr="00A804C5">
        <w:rPr>
          <w:rFonts w:eastAsia="Calibri" w:cs="Times New Roman"/>
        </w:rPr>
        <w:t>bet + chlopn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, výsek kruhu na obálce pr</w:t>
      </w:r>
      <w:r w:rsidR="00B533A3">
        <w:rPr>
          <w:rFonts w:eastAsia="Calibri" w:cs="Times New Roman"/>
        </w:rPr>
        <w:t>ů</w:t>
      </w:r>
      <w:r w:rsidRPr="00A804C5">
        <w:rPr>
          <w:rFonts w:eastAsia="Calibri" w:cs="Times New Roman"/>
        </w:rPr>
        <w:t>m</w:t>
      </w:r>
      <w:r w:rsidR="00B533A3">
        <w:rPr>
          <w:rFonts w:eastAsia="Calibri" w:cs="Times New Roman"/>
        </w:rPr>
        <w:t>ě</w:t>
      </w:r>
      <w:r w:rsidRPr="00A804C5">
        <w:rPr>
          <w:rFonts w:eastAsia="Calibri" w:cs="Times New Roman"/>
        </w:rPr>
        <w:t>r 12 – 12,5 cm</w:t>
      </w:r>
    </w:p>
    <w:p w:rsidR="00A804C5" w:rsidRPr="00A804C5" w:rsidRDefault="00A804C5" w:rsidP="00A804C5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A804C5">
        <w:rPr>
          <w:rFonts w:eastAsia="Calibri" w:cs="Times New Roman"/>
        </w:rPr>
        <w:t>Publikace bude vyrobena v nákladu 40 ks.</w:t>
      </w:r>
    </w:p>
    <w:p w:rsidR="0081750C" w:rsidRPr="00FE2031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 xml:space="preserve">Plnění předmětu smlouvy bude provedeno za podmínek stanovených v této smlouvě (včetně příloh), </w:t>
      </w:r>
      <w:r w:rsidRPr="0058623D">
        <w:rPr>
          <w:rFonts w:cs="Times New Roman"/>
          <w:bCs/>
        </w:rPr>
        <w:t>dále pak za podmínek st</w:t>
      </w:r>
      <w:r w:rsidR="00283F23" w:rsidRPr="0058623D">
        <w:rPr>
          <w:rFonts w:cs="Times New Roman"/>
          <w:bCs/>
        </w:rPr>
        <w:t>anovených v</w:t>
      </w:r>
      <w:r w:rsidR="0058623D" w:rsidRPr="0058623D">
        <w:rPr>
          <w:rFonts w:cs="Times New Roman"/>
          <w:bCs/>
        </w:rPr>
        <w:t xml:space="preserve"> </w:t>
      </w:r>
      <w:r w:rsidR="00027440" w:rsidRPr="0058623D">
        <w:rPr>
          <w:rFonts w:cs="Times New Roman"/>
          <w:bCs/>
        </w:rPr>
        <w:t>zadávací dokumentaci zakázky</w:t>
      </w:r>
      <w:r w:rsidR="00DA6E4E" w:rsidRPr="0058623D">
        <w:rPr>
          <w:rFonts w:cs="Times New Roman"/>
          <w:bCs/>
        </w:rPr>
        <w:t>, včetně jejích příloh</w:t>
      </w:r>
      <w:r w:rsidR="006B64EC">
        <w:rPr>
          <w:rFonts w:cs="Times New Roman"/>
          <w:bCs/>
        </w:rPr>
        <w:t>,</w:t>
      </w:r>
      <w:r w:rsidRPr="0058623D">
        <w:rPr>
          <w:rFonts w:cs="Times New Roman"/>
          <w:bCs/>
        </w:rPr>
        <w:t xml:space="preserve"> a v nab</w:t>
      </w:r>
      <w:r w:rsidR="00283F23" w:rsidRPr="0058623D">
        <w:rPr>
          <w:rFonts w:cs="Times New Roman"/>
          <w:bCs/>
        </w:rPr>
        <w:t xml:space="preserve">ídce </w:t>
      </w:r>
      <w:r w:rsidR="00283F23" w:rsidRPr="00B56306">
        <w:rPr>
          <w:rFonts w:cs="Times New Roman"/>
          <w:bCs/>
        </w:rPr>
        <w:t>zhotovitele</w:t>
      </w:r>
      <w:r w:rsidRPr="00B56306">
        <w:rPr>
          <w:rFonts w:cs="Times New Roman"/>
          <w:bCs/>
        </w:rPr>
        <w:t>.</w:t>
      </w:r>
    </w:p>
    <w:p w:rsidR="00FE2031" w:rsidRPr="00F91DBB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91DBB">
        <w:rPr>
          <w:rFonts w:cs="Times New Roman"/>
        </w:rPr>
        <w:lastRenderedPageBreak/>
        <w:t>V rámci zpracování díla se zhotovitel zavazuje k účasti na všech pracovních poradách svolaných objednatelem či pracovních poradách a prezentacích</w:t>
      </w:r>
      <w:r w:rsidR="00041C27" w:rsidRPr="00F91DBB">
        <w:rPr>
          <w:rFonts w:cs="Times New Roman"/>
        </w:rPr>
        <w:t xml:space="preserve"> </w:t>
      </w:r>
      <w:r w:rsidRPr="00F91DBB">
        <w:rPr>
          <w:rFonts w:cs="Times New Roman"/>
        </w:rPr>
        <w:t>a zavazuje se</w:t>
      </w:r>
      <w:r w:rsidR="009E48D6" w:rsidRPr="00F91DBB">
        <w:rPr>
          <w:rFonts w:cs="Times New Roman"/>
        </w:rPr>
        <w:t xml:space="preserve"> </w:t>
      </w:r>
      <w:proofErr w:type="gramStart"/>
      <w:r w:rsidRPr="00F91DBB">
        <w:rPr>
          <w:rFonts w:cs="Times New Roman"/>
        </w:rPr>
        <w:t>k  respektování</w:t>
      </w:r>
      <w:proofErr w:type="gramEnd"/>
      <w:r w:rsidRPr="00F91DBB">
        <w:rPr>
          <w:rFonts w:cs="Times New Roman"/>
        </w:rPr>
        <w:t xml:space="preserve"> závěrů na nich přijatých. </w:t>
      </w:r>
      <w:r w:rsidR="00041C27" w:rsidRPr="00F91DBB">
        <w:rPr>
          <w:rFonts w:cs="Times New Roman"/>
        </w:rPr>
        <w:t>P</w:t>
      </w:r>
      <w:r w:rsidRPr="00F91DBB">
        <w:rPr>
          <w:rFonts w:cs="Times New Roman"/>
        </w:rPr>
        <w:t xml:space="preserve">očet a termíny porad </w:t>
      </w:r>
      <w:r w:rsidR="00041C27" w:rsidRPr="00F91DBB">
        <w:rPr>
          <w:rFonts w:cs="Times New Roman"/>
        </w:rPr>
        <w:t xml:space="preserve">stanoví </w:t>
      </w:r>
      <w:r w:rsidRPr="00F91DBB">
        <w:rPr>
          <w:rFonts w:cs="Times New Roman"/>
        </w:rPr>
        <w:t>objednatel podle postupu prací na díle. První vstupní pracovní porada se uskuteční spolu se zahájením prací na díle.</w:t>
      </w:r>
    </w:p>
    <w:p w:rsidR="00AE0FE5" w:rsidRPr="005B5118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943FC">
        <w:rPr>
          <w:rFonts w:cs="Times New Roman"/>
        </w:rPr>
        <w:t xml:space="preserve">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 je i veškerá činnost </w:t>
      </w:r>
      <w:r w:rsidR="00CA37E5">
        <w:rPr>
          <w:rFonts w:cs="Times New Roman"/>
        </w:rPr>
        <w:t>z</w:t>
      </w:r>
      <w:r w:rsidRPr="000943FC">
        <w:rPr>
          <w:rFonts w:cs="Times New Roman"/>
        </w:rPr>
        <w:t xml:space="preserve">hotovitele nezbytná k provádění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a k jeho zdárnému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>kompletnímu dokon</w:t>
      </w:r>
      <w:r w:rsidR="00560B19">
        <w:rPr>
          <w:rFonts w:cs="Times New Roman"/>
        </w:rPr>
        <w:t>čení, zejména prezentace návrhu a</w:t>
      </w:r>
      <w:r w:rsidRPr="000943FC">
        <w:rPr>
          <w:rFonts w:cs="Times New Roman"/>
        </w:rPr>
        <w:t xml:space="preserve"> komunikace s</w:t>
      </w:r>
      <w:r w:rsidR="00227E02">
        <w:rPr>
          <w:rFonts w:cs="Times New Roman"/>
        </w:rPr>
        <w:t xml:space="preserve"> klíčovými </w:t>
      </w:r>
      <w:r w:rsidRPr="000943FC">
        <w:rPr>
          <w:rFonts w:cs="Times New Roman"/>
        </w:rPr>
        <w:t xml:space="preserve">aktéry. 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je i provedení prací, neuvedených ve výčtu tohoto článku, avšak nezbytných k řádnému dokončení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 xml:space="preserve">umožnění užívání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íla, o kterých </w:t>
      </w:r>
      <w:r w:rsidR="00F45252">
        <w:rPr>
          <w:rFonts w:cs="Times New Roman"/>
        </w:rPr>
        <w:t>z</w:t>
      </w:r>
      <w:r w:rsidRPr="000943FC">
        <w:rPr>
          <w:rFonts w:cs="Times New Roman"/>
        </w:rPr>
        <w:t>hotovitel vzhledem ke své kvalifikaci a zkušenostem měl nebo mohl vědět.</w:t>
      </w:r>
      <w:r w:rsidR="00227E02">
        <w:rPr>
          <w:rFonts w:cs="Times New Roman"/>
        </w:rPr>
        <w:t xml:space="preserve"> </w:t>
      </w:r>
      <w:r w:rsidR="00AE0FE5" w:rsidRPr="00AE0FE5">
        <w:rPr>
          <w:rFonts w:cs="Times New Roman"/>
          <w:b/>
        </w:rPr>
        <w:t>Smluvní strany prohlašují, že na základě výše uvedené specifikace je dílo dostatečně a srozumitelně vymezeno.</w:t>
      </w:r>
    </w:p>
    <w:p w:rsidR="00AE0FE5" w:rsidRPr="009E4AB3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Smluvní strany se výslovně dohodly, že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 nabývá vlastnické právo k</w:t>
      </w:r>
      <w:r w:rsidR="007A3CEB">
        <w:rPr>
          <w:rFonts w:cs="Times New Roman"/>
        </w:rPr>
        <w:t xml:space="preserve"> movitým věcem jako součásti </w:t>
      </w:r>
      <w:r w:rsidRPr="00AE0FE5">
        <w:rPr>
          <w:rFonts w:cs="Times New Roman"/>
        </w:rPr>
        <w:t xml:space="preserve">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okamžikem předání předmětu dokončeného kompletního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bjednateli. Veškeré právní účinky předání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>íla Objednateli nastávají až na základě potvrzení předání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resp. jimi pověřených osob. </w:t>
      </w:r>
    </w:p>
    <w:p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</w:t>
        </w:r>
        <w:r w:rsidRPr="009E4AB3">
          <w:rPr>
            <w:rStyle w:val="Hypertextovodkaz"/>
            <w:rFonts w:cs="Times New Roman"/>
          </w:rPr>
          <w:t>/</w:t>
        </w:r>
        <w:r w:rsidRPr="009E4AB3">
          <w:rPr>
            <w:rStyle w:val="Hypertextovodkaz"/>
            <w:rFonts w:cs="Times New Roman"/>
          </w:rPr>
          <w:t>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:rsidR="000943FC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:rsidR="00E16F7D" w:rsidRPr="0060154C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:rsidR="00CE703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díla činí</w:t>
      </w:r>
      <w:r w:rsidR="00CE703C" w:rsidRPr="0060154C">
        <w:rPr>
          <w:rFonts w:cs="Times New Roman"/>
        </w:rPr>
        <w:t>:</w:t>
      </w:r>
    </w:p>
    <w:p w:rsidR="00CE703C" w:rsidRDefault="00B533A3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r>
        <w:rPr>
          <w:rFonts w:cs="Times New Roman"/>
          <w:b/>
          <w:bCs/>
        </w:rPr>
        <w:t>261 900</w:t>
      </w:r>
      <w:r w:rsidR="006B64EC" w:rsidRPr="009E4AB3">
        <w:rPr>
          <w:rFonts w:cs="Times New Roman"/>
          <w:b/>
          <w:bCs/>
        </w:rPr>
        <w:t>,-</w:t>
      </w:r>
      <w:r w:rsidR="001D54B4" w:rsidRPr="005F7C86">
        <w:rPr>
          <w:rFonts w:cs="Times New Roman"/>
          <w:b/>
        </w:rPr>
        <w:t xml:space="preserve"> Kč</w:t>
      </w:r>
      <w:r w:rsidR="00CE703C" w:rsidRPr="0060154C">
        <w:rPr>
          <w:rFonts w:cs="Times New Roman"/>
          <w:b/>
        </w:rPr>
        <w:t xml:space="preserve"> </w:t>
      </w:r>
      <w:r w:rsidR="00CE703C" w:rsidRPr="0060154C">
        <w:rPr>
          <w:rFonts w:cs="Times New Roman"/>
        </w:rPr>
        <w:t>(slovy:</w:t>
      </w:r>
      <w:r w:rsidR="004734DE">
        <w:rPr>
          <w:rFonts w:cs="Times New Roman"/>
        </w:rPr>
        <w:t xml:space="preserve"> </w:t>
      </w:r>
      <w:r>
        <w:rPr>
          <w:rFonts w:cs="Times New Roman"/>
        </w:rPr>
        <w:t>dvěstě</w:t>
      </w:r>
      <w:r w:rsidR="0040275C">
        <w:rPr>
          <w:rFonts w:cs="Times New Roman"/>
        </w:rPr>
        <w:t>šedesátjednatisícdevětset</w:t>
      </w:r>
      <w:r w:rsidR="00CE703C" w:rsidRPr="0060154C">
        <w:rPr>
          <w:rFonts w:cs="Times New Roman"/>
        </w:rPr>
        <w:t xml:space="preserve"> korun českých)</w:t>
      </w:r>
      <w:r w:rsidR="001D54B4" w:rsidRPr="0060154C">
        <w:rPr>
          <w:rFonts w:cs="Times New Roman"/>
        </w:rPr>
        <w:t xml:space="preserve"> </w:t>
      </w:r>
      <w:r w:rsidR="001D54B4" w:rsidRPr="005F7C86">
        <w:rPr>
          <w:rFonts w:cs="Times New Roman"/>
          <w:b/>
        </w:rPr>
        <w:t>bez DPH</w:t>
      </w:r>
      <w:r w:rsidR="001D54B4" w:rsidRPr="0060154C">
        <w:rPr>
          <w:rFonts w:cs="Times New Roman"/>
        </w:rPr>
        <w:t xml:space="preserve">, </w:t>
      </w:r>
    </w:p>
    <w:p w:rsidR="006F1F08" w:rsidRDefault="0040275C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288 900</w:t>
      </w:r>
      <w:r w:rsidR="006B64EC" w:rsidRPr="009E4AB3">
        <w:rPr>
          <w:rFonts w:cs="Times New Roman"/>
          <w:b/>
          <w:bCs/>
        </w:rPr>
        <w:t>,-</w:t>
      </w:r>
      <w:r w:rsidR="009E58B5" w:rsidRPr="00753F92">
        <w:rPr>
          <w:rFonts w:cs="Times New Roman"/>
        </w:rPr>
        <w:t xml:space="preserve"> </w:t>
      </w:r>
      <w:r w:rsidR="009E58B5" w:rsidRPr="005F7C86">
        <w:rPr>
          <w:rFonts w:cs="Times New Roman"/>
          <w:b/>
        </w:rPr>
        <w:t>Kč</w:t>
      </w:r>
      <w:r w:rsidR="009E58B5" w:rsidRPr="0060154C">
        <w:rPr>
          <w:rFonts w:cs="Times New Roman"/>
          <w:b/>
        </w:rPr>
        <w:t xml:space="preserve"> </w:t>
      </w:r>
      <w:r w:rsidR="009E58B5" w:rsidRPr="0060154C">
        <w:rPr>
          <w:rFonts w:cs="Times New Roman"/>
        </w:rPr>
        <w:t>(slovy:</w:t>
      </w:r>
      <w:r w:rsidR="009E58B5">
        <w:rPr>
          <w:rFonts w:cs="Times New Roman"/>
        </w:rPr>
        <w:t xml:space="preserve"> </w:t>
      </w:r>
      <w:r>
        <w:rPr>
          <w:rFonts w:cs="Times New Roman"/>
        </w:rPr>
        <w:t xml:space="preserve">dvěstěosmdesátosmtisícdevětset </w:t>
      </w:r>
      <w:r w:rsidR="009E58B5" w:rsidRPr="0060154C">
        <w:rPr>
          <w:rFonts w:cs="Times New Roman"/>
        </w:rPr>
        <w:t xml:space="preserve">korun českých) </w:t>
      </w:r>
      <w:r w:rsidR="009E58B5" w:rsidRPr="005F7C86">
        <w:rPr>
          <w:rFonts w:cs="Times New Roman"/>
          <w:b/>
        </w:rPr>
        <w:t>včetně DPH</w:t>
      </w:r>
      <w:r w:rsidR="009E58B5">
        <w:rPr>
          <w:rFonts w:cs="Times New Roman"/>
        </w:rPr>
        <w:t>.</w:t>
      </w:r>
    </w:p>
    <w:p w:rsidR="002A1B71" w:rsidRPr="00030464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>
        <w:rPr>
          <w:rFonts w:cs="Times New Roman"/>
          <w:i/>
        </w:rPr>
        <w:t xml:space="preserve"> </w:t>
      </w:r>
      <w:r w:rsidR="00560B19" w:rsidRPr="00994817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 w:rsidR="002A1B71" w:rsidRPr="00B26EAD">
        <w:rPr>
          <w:rFonts w:cs="Times New Roman"/>
        </w:rPr>
        <w:t xml:space="preserve">Platba za splnění předmětu smlouvy se uskuteční po předání </w:t>
      </w:r>
      <w:r w:rsidR="003B7B4B">
        <w:rPr>
          <w:rFonts w:cs="Times New Roman"/>
        </w:rPr>
        <w:t xml:space="preserve">dokončeného </w:t>
      </w:r>
      <w:r w:rsidR="002A1B71" w:rsidRPr="00B26EAD">
        <w:rPr>
          <w:rFonts w:cs="Times New Roman"/>
        </w:rPr>
        <w:t>díla, a to po oboustranném podepsání akceptačního protokolu</w:t>
      </w:r>
      <w:r w:rsidR="00A74551" w:rsidRPr="00B26EAD">
        <w:rPr>
          <w:rFonts w:cs="Times New Roman"/>
        </w:rPr>
        <w:t xml:space="preserve"> bez výhrad či s výhradou těch vad, které nebrání díl</w:t>
      </w:r>
      <w:r w:rsidR="00030464">
        <w:rPr>
          <w:rFonts w:cs="Times New Roman"/>
        </w:rPr>
        <w:t>o</w:t>
      </w:r>
      <w:r w:rsidR="00A74551" w:rsidRPr="00B26EAD">
        <w:rPr>
          <w:rFonts w:cs="Times New Roman"/>
        </w:rPr>
        <w:t xml:space="preserve"> akceptovat</w:t>
      </w:r>
      <w:r w:rsidR="00925B78">
        <w:rPr>
          <w:rFonts w:cs="Times New Roman"/>
        </w:rPr>
        <w:t>.</w:t>
      </w:r>
    </w:p>
    <w:p w:rsidR="003B6E46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 w:rsidR="00EB2726">
        <w:rPr>
          <w:rFonts w:cs="Times New Roman"/>
        </w:rPr>
        <w:t xml:space="preserve">, </w:t>
      </w:r>
      <w:r w:rsidR="00EB2726" w:rsidRPr="00925B78">
        <w:rPr>
          <w:rFonts w:cs="Times New Roman"/>
        </w:rPr>
        <w:t xml:space="preserve">včetně </w:t>
      </w:r>
      <w:r w:rsidR="00EB2726" w:rsidRPr="0040275C">
        <w:rPr>
          <w:rFonts w:cs="Times New Roman"/>
        </w:rPr>
        <w:t>ceny licence</w:t>
      </w:r>
      <w:r w:rsidR="003B7B4B" w:rsidRPr="00925B78">
        <w:rPr>
          <w:rFonts w:cs="Times New Roman"/>
        </w:rPr>
        <w:t>, pro případ, že výsledkem činnosti zhotovitele bude autorské dílo,</w:t>
      </w:r>
      <w:r w:rsidR="00BB5233">
        <w:rPr>
          <w:rFonts w:cs="Times New Roman"/>
        </w:rPr>
        <w:t xml:space="preserve"> a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 xml:space="preserve">Řádným vystavením faktury se rozumí vystavení faktury zhotovitelem, </w:t>
      </w:r>
      <w:proofErr w:type="gramStart"/>
      <w:r w:rsidRPr="0060154C">
        <w:rPr>
          <w:rFonts w:cs="Times New Roman"/>
        </w:rPr>
        <w:t>jež</w:t>
      </w:r>
      <w:proofErr w:type="gramEnd"/>
      <w:r w:rsidRPr="0060154C">
        <w:rPr>
          <w:rFonts w:cs="Times New Roman"/>
        </w:rPr>
        <w:t xml:space="preserve"> 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 je povinen poskytnout přístup ke všem dokumentům souvisejícím se zadáním a realizací díla, 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</w:t>
      </w:r>
      <w:proofErr w:type="gramStart"/>
      <w:r>
        <w:rPr>
          <w:rFonts w:cs="Times New Roman"/>
        </w:rPr>
        <w:t>106a</w:t>
      </w:r>
      <w:proofErr w:type="gramEnd"/>
      <w:r>
        <w:rPr>
          <w:rFonts w:cs="Times New Roman"/>
        </w:rPr>
        <w:t xml:space="preserve">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 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r w:rsidR="00D04DC2">
        <w:rPr>
          <w:rFonts w:cs="Times New Roman"/>
        </w:rPr>
        <w:t>z</w:t>
      </w:r>
      <w:r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:rsidR="001D54B4" w:rsidRDefault="007F30BA" w:rsidP="0007550F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:rsidR="00F60AB7" w:rsidRPr="00502615" w:rsidRDefault="00F60AB7" w:rsidP="0007550F">
      <w:pPr>
        <w:spacing w:after="120" w:line="276" w:lineRule="auto"/>
      </w:pPr>
    </w:p>
    <w:p w:rsidR="00C76CEE" w:rsidRPr="00C76CEE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</w:t>
      </w:r>
      <w:r w:rsidR="00331390">
        <w:rPr>
          <w:rFonts w:cs="Times New Roman"/>
        </w:rPr>
        <w:t>se zavazuje dílo dokončit a jako řádně provedené kompletní dílo</w:t>
      </w:r>
      <w:r w:rsidRPr="0060154C">
        <w:rPr>
          <w:rFonts w:cs="Times New Roman"/>
        </w:rPr>
        <w:t xml:space="preserve"> </w:t>
      </w:r>
      <w:r w:rsidR="00331390" w:rsidRPr="0060154C">
        <w:rPr>
          <w:rFonts w:cs="Times New Roman"/>
        </w:rPr>
        <w:t xml:space="preserve">objednateli </w:t>
      </w:r>
      <w:r w:rsidRPr="0060154C">
        <w:rPr>
          <w:rFonts w:cs="Times New Roman"/>
        </w:rPr>
        <w:t xml:space="preserve">předat </w:t>
      </w:r>
      <w:r w:rsidRPr="00F91DBB">
        <w:rPr>
          <w:rFonts w:cs="Times New Roman"/>
        </w:rPr>
        <w:t xml:space="preserve">nejpozději do </w:t>
      </w:r>
      <w:r w:rsidR="0040275C" w:rsidRPr="00F91DBB">
        <w:rPr>
          <w:rFonts w:cs="Times New Roman"/>
        </w:rPr>
        <w:t>31. 12. 2021</w:t>
      </w:r>
      <w:r w:rsidR="0061560E">
        <w:rPr>
          <w:rFonts w:cs="Times New Roman"/>
        </w:rPr>
        <w:t xml:space="preserve"> </w:t>
      </w:r>
      <w:r w:rsidR="00757FD5">
        <w:rPr>
          <w:rFonts w:cs="Times New Roman"/>
        </w:rPr>
        <w:t>od</w:t>
      </w:r>
      <w:r w:rsidR="00454AC2">
        <w:rPr>
          <w:rFonts w:cs="Times New Roman"/>
        </w:rPr>
        <w:t xml:space="preserve"> podpisu smlouvy oběma smluvními stranami</w:t>
      </w:r>
      <w:r w:rsidRPr="00BE2197">
        <w:rPr>
          <w:rFonts w:cs="Times New Roman"/>
        </w:rPr>
        <w:t>.</w:t>
      </w:r>
      <w:r w:rsidR="001E48DD">
        <w:rPr>
          <w:rFonts w:cs="Times New Roman"/>
        </w:rPr>
        <w:t xml:space="preserve"> </w:t>
      </w:r>
    </w:p>
    <w:p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5E8B">
        <w:t xml:space="preserve">Zhotovitel </w:t>
      </w:r>
      <w:r w:rsidR="009075CD" w:rsidRPr="00FE5E8B">
        <w:t xml:space="preserve">(jeho zástupce) </w:t>
      </w:r>
      <w:r w:rsidRPr="00FE5E8B">
        <w:t>bude v rámci plnění zakázky aktivně přítomen prezentacím a všem jednáním organizovaný</w:t>
      </w:r>
      <w:r w:rsidR="002268D8" w:rsidRPr="00FE5E8B">
        <w:t>m</w:t>
      </w:r>
      <w:r w:rsidRPr="00FE5E8B">
        <w:t xml:space="preserve"> objednatelem.</w:t>
      </w:r>
    </w:p>
    <w:p w:rsidR="009E4AB3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F7C86">
        <w:lastRenderedPageBreak/>
        <w:t xml:space="preserve">Zhotovitel doloží předpokládanou časovou náročnost a předpokládané termíny jednání, kde bude třeba účast </w:t>
      </w:r>
      <w:r w:rsidR="00DD37F5" w:rsidRPr="005F7C86">
        <w:t>o</w:t>
      </w:r>
      <w:r w:rsidRPr="005F7C86">
        <w:t xml:space="preserve">bjednatele. Rámcová představa o zapojení bude projednána a odsouhlasena oběma stranami </w:t>
      </w:r>
      <w:r w:rsidR="00D131D4" w:rsidRPr="005F7C86">
        <w:t>bez zbytečného odkladu po uzavření této smlouvy</w:t>
      </w:r>
      <w:r w:rsidRPr="005F7C86">
        <w:t>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:rsidR="001D54B4" w:rsidRDefault="007F30BA" w:rsidP="0007550F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:rsidR="00F60AB7" w:rsidRPr="00502615" w:rsidRDefault="00F60AB7" w:rsidP="0007550F">
      <w:pPr>
        <w:spacing w:after="120" w:line="276" w:lineRule="auto"/>
      </w:pPr>
    </w:p>
    <w:p w:rsidR="009E4AB3" w:rsidRPr="00F91DBB" w:rsidRDefault="000D2FEF" w:rsidP="0086722A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F91DBB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F91DBB">
        <w:rPr>
          <w:rFonts w:cs="Times New Roman"/>
        </w:rPr>
        <w:t xml:space="preserve">. </w:t>
      </w:r>
      <w:r w:rsidR="003620C5" w:rsidRPr="00F91DBB">
        <w:t xml:space="preserve">Místem vstupního jednání, následujících jednání, koordinačních a pracovních schůzek a předání díla je sídlo objednatele. </w:t>
      </w:r>
    </w:p>
    <w:p w:rsidR="009E4AB3" w:rsidRPr="00F91DB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F91DBB">
        <w:t xml:space="preserve">Objednatel je oprávněn </w:t>
      </w:r>
      <w:r w:rsidR="00E062FC" w:rsidRPr="00F91DBB">
        <w:t xml:space="preserve">být informován </w:t>
      </w:r>
      <w:r w:rsidRPr="00F91DBB">
        <w:t>průběžn</w:t>
      </w:r>
      <w:r w:rsidR="00725CD0" w:rsidRPr="00F91DBB">
        <w:t>ě</w:t>
      </w:r>
      <w:r w:rsidRPr="00F91DBB">
        <w:t xml:space="preserve"> </w:t>
      </w:r>
      <w:r w:rsidR="00725CD0" w:rsidRPr="00F91DBB">
        <w:t xml:space="preserve">o </w:t>
      </w:r>
      <w:r w:rsidRPr="00F91DBB">
        <w:t xml:space="preserve">provádění </w:t>
      </w:r>
      <w:r w:rsidR="00E733B4" w:rsidRPr="00F91DBB">
        <w:t>d</w:t>
      </w:r>
      <w:r w:rsidRPr="00F91DBB">
        <w:t>íla (dále také „</w:t>
      </w:r>
      <w:r w:rsidR="00E062FC" w:rsidRPr="00F91DBB">
        <w:rPr>
          <w:b/>
        </w:rPr>
        <w:t>report stavu</w:t>
      </w:r>
      <w:r w:rsidRPr="00F91DBB">
        <w:t xml:space="preserve">”).  </w:t>
      </w:r>
      <w:r w:rsidR="0007397E" w:rsidRPr="00F91DBB">
        <w:t xml:space="preserve">Orientační frekvence předávání informací je 1 x za 14 dnů (postačí elektronickou cestou). </w:t>
      </w:r>
      <w:r w:rsidRPr="00F91DBB">
        <w:t>Objednatel má právo k předloženým materiálům dávat své připomínky. Objednatel se vyjádř</w:t>
      </w:r>
      <w:r w:rsidR="0007397E" w:rsidRPr="00F91DBB">
        <w:t>í</w:t>
      </w:r>
      <w:r w:rsidRPr="00F91DBB">
        <w:t xml:space="preserve"> k </w:t>
      </w:r>
      <w:r w:rsidR="00F45252" w:rsidRPr="00F91DBB">
        <w:t>z</w:t>
      </w:r>
      <w:r w:rsidRPr="00F91DBB">
        <w:t xml:space="preserve">hotovitelem předloženým materiálům do pěti pracovních dnů od jejich předložení. Na základě tohoto vyjádření bude </w:t>
      </w:r>
      <w:r w:rsidR="00E733B4" w:rsidRPr="00F91DBB">
        <w:t>d</w:t>
      </w:r>
      <w:r w:rsidRPr="00F91DBB">
        <w:t>ílo upraveno, resp. dopracováno a dokončeno.</w:t>
      </w:r>
    </w:p>
    <w:p w:rsidR="0097395D" w:rsidRPr="00F91DB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F91DBB">
        <w:t xml:space="preserve">Konzultace budou probíhat dle aktuálních potřeb a časových možností </w:t>
      </w:r>
      <w:r w:rsidR="00F45252" w:rsidRPr="00F91DBB">
        <w:t>o</w:t>
      </w:r>
      <w:r w:rsidRPr="00F91DBB">
        <w:t xml:space="preserve">bjednatele a </w:t>
      </w:r>
      <w:r w:rsidR="00F45252" w:rsidRPr="00F91DBB">
        <w:t>z</w:t>
      </w:r>
      <w:r w:rsidRPr="00F91DBB">
        <w:t xml:space="preserve">hotovitele, a to vždy na základě jejich společné dohody.  Pokud bude </w:t>
      </w:r>
      <w:r w:rsidR="00F45252" w:rsidRPr="00F91DBB">
        <w:t>z</w:t>
      </w:r>
      <w:r w:rsidRPr="00F91DBB">
        <w:t xml:space="preserve">hotovitel nebo </w:t>
      </w:r>
      <w:r w:rsidR="00F45252" w:rsidRPr="00F91DBB">
        <w:t>o</w:t>
      </w:r>
      <w:r w:rsidRPr="00F91DBB">
        <w:t xml:space="preserve">bjednatel požadovat kontrolní den, vyzve k účasti zástupce druhé smluvní strany telefonicky nebo emailem nejméně 7 pracovních dnů předem. </w:t>
      </w:r>
      <w:r w:rsidR="000D2FEF" w:rsidRPr="00F91DBB">
        <w:rPr>
          <w:rFonts w:cs="Times New Roman"/>
        </w:rPr>
        <w:t xml:space="preserve"> </w:t>
      </w:r>
    </w:p>
    <w:p w:rsidR="0097395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>
        <w:rPr>
          <w:rFonts w:cs="Times New Roman"/>
        </w:rPr>
        <w:t xml:space="preserve"> vztahujícími se k předmětu plnění díla.</w:t>
      </w:r>
      <w:r>
        <w:rPr>
          <w:rFonts w:cs="Times New Roman"/>
        </w:rPr>
        <w:t xml:space="preserve"> </w:t>
      </w:r>
    </w:p>
    <w:p w:rsidR="001C4E2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>
        <w:rPr>
          <w:rFonts w:cs="Times New Roman"/>
        </w:rPr>
        <w:t xml:space="preserve"> </w:t>
      </w:r>
      <w:r>
        <w:rPr>
          <w:rFonts w:cs="Times New Roman"/>
        </w:rPr>
        <w:t xml:space="preserve">platnému právnímu řádu, jakož ani připomínkám daným po lhůtě dohodnuté pro vyjádření objednatele. </w:t>
      </w:r>
      <w:r w:rsidR="001C4E25">
        <w:rPr>
          <w:rFonts w:cs="Times New Roman"/>
        </w:rPr>
        <w:t xml:space="preserve">Je však povinen na tyto okolnosti objednatele upozornit. </w:t>
      </w:r>
    </w:p>
    <w:p w:rsidR="001C4E2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je povinen použít podklady předané mu objednatelem pouze </w:t>
      </w:r>
      <w:r w:rsidR="0007397E">
        <w:rPr>
          <w:rFonts w:cs="Times New Roman"/>
        </w:rPr>
        <w:t>za účelem</w:t>
      </w:r>
      <w:r>
        <w:rPr>
          <w:rFonts w:cs="Times New Roman"/>
        </w:rPr>
        <w:t xml:space="preserve"> vytvoření díla</w:t>
      </w:r>
      <w:r w:rsidR="007D3C15">
        <w:rPr>
          <w:rFonts w:cs="Times New Roman"/>
        </w:rPr>
        <w:t xml:space="preserve"> </w:t>
      </w:r>
      <w:r w:rsidR="007D3C15" w:rsidRPr="00FE5E8B">
        <w:rPr>
          <w:rFonts w:cs="Times New Roman"/>
        </w:rPr>
        <w:t>a</w:t>
      </w:r>
      <w:r w:rsidR="006361ED">
        <w:rPr>
          <w:rFonts w:cs="Times New Roman"/>
        </w:rPr>
        <w:t> </w:t>
      </w:r>
      <w:r w:rsidR="007D3C15" w:rsidRPr="00FE5E8B">
        <w:rPr>
          <w:rFonts w:cs="Times New Roman"/>
        </w:rPr>
        <w:t>zavazuje se nejpozději současně s předáním díla vrátit objednatelem poskytnuté podklady zpět objednateli</w:t>
      </w:r>
      <w:r w:rsidRPr="00FE5E8B">
        <w:rPr>
          <w:rFonts w:cs="Times New Roman"/>
        </w:rPr>
        <w:t>.</w:t>
      </w:r>
      <w:r w:rsidR="007D3C15" w:rsidRPr="00FE5E8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  <w:r w:rsidR="007D3C15">
        <w:rPr>
          <w:rFonts w:cs="Times New Roman"/>
        </w:rPr>
        <w:t xml:space="preserve"> </w:t>
      </w:r>
    </w:p>
    <w:p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Smluvní strany se dohodly, že aplikace ustanovení § 2591 a § 2595 občanského zákoníku se vylučuje. </w:t>
      </w:r>
      <w:r w:rsidR="000D2FEF">
        <w:rPr>
          <w:rFonts w:cs="Times New Roman"/>
        </w:rPr>
        <w:t xml:space="preserve"> </w:t>
      </w:r>
    </w:p>
    <w:p w:rsidR="004B583F" w:rsidRPr="0060154C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Dílo je splněno jeho řádným dokončením a jeho akceptováním objednatelem. </w:t>
      </w:r>
      <w:r w:rsidR="004A19B4">
        <w:rPr>
          <w:rFonts w:cs="Times New Roman"/>
        </w:rPr>
        <w:t>Objednatel nebude akceptaci řádně dokončeného díla bezdůvodně zdržovat či oddalovat.</w:t>
      </w:r>
      <w:r>
        <w:rPr>
          <w:rFonts w:cs="Times New Roman"/>
        </w:rPr>
        <w:t xml:space="preserve">  </w:t>
      </w:r>
    </w:p>
    <w:p w:rsidR="003B6E46" w:rsidRPr="0060154C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</w:t>
      </w:r>
      <w:r w:rsidR="00090F66">
        <w:rPr>
          <w:rFonts w:cs="Times New Roman"/>
        </w:rPr>
        <w:t xml:space="preserve">předávacího </w:t>
      </w:r>
      <w:r w:rsidRPr="0060154C">
        <w:rPr>
          <w:rFonts w:cs="Times New Roman"/>
        </w:rPr>
        <w:t>protokolu</w:t>
      </w:r>
      <w:r w:rsidR="008D0802">
        <w:rPr>
          <w:rFonts w:cs="Times New Roman"/>
        </w:rPr>
        <w:t>.</w:t>
      </w:r>
      <w:r w:rsidR="00DC25B2">
        <w:rPr>
          <w:rFonts w:cs="Times New Roman"/>
        </w:rPr>
        <w:t xml:space="preserve"> Postačí i prosté potvrzení objednatele o převzetí díla. </w:t>
      </w:r>
      <w:r w:rsidRPr="0060154C">
        <w:rPr>
          <w:rFonts w:cs="Times New Roman"/>
        </w:rPr>
        <w:t>Akceptační protokol bude podepsán</w:t>
      </w:r>
      <w:r w:rsidR="00A74551">
        <w:rPr>
          <w:rFonts w:cs="Times New Roman"/>
        </w:rPr>
        <w:t xml:space="preserve"> s účinky předaného díla</w:t>
      </w:r>
      <w:r w:rsidRPr="0060154C">
        <w:rPr>
          <w:rFonts w:cs="Times New Roman"/>
        </w:rPr>
        <w:t xml:space="preserve"> pouze tehdy, bude-li předávané předm</w:t>
      </w:r>
      <w:r w:rsidR="00EF70E1" w:rsidRPr="0060154C">
        <w:rPr>
          <w:rFonts w:cs="Times New Roman"/>
        </w:rPr>
        <w:t xml:space="preserve">ětné dílo splňovat </w:t>
      </w:r>
      <w:r w:rsidR="00EF70E1" w:rsidRPr="0007397E">
        <w:rPr>
          <w:rFonts w:cs="Times New Roman"/>
        </w:rPr>
        <w:t>požadavky na </w:t>
      </w:r>
      <w:r w:rsidRPr="0007397E">
        <w:rPr>
          <w:rFonts w:cs="Times New Roman"/>
        </w:rPr>
        <w:t>kvalitu stanovené v čl. V</w:t>
      </w:r>
      <w:r w:rsidR="002D2B5D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smlouvy.</w:t>
      </w:r>
      <w:r w:rsidRPr="0060154C">
        <w:rPr>
          <w:rFonts w:cs="Times New Roman"/>
        </w:rPr>
        <w:t xml:space="preserve"> Teprve podpisem akceptačníh</w:t>
      </w:r>
      <w:r w:rsidR="00502231" w:rsidRPr="0060154C">
        <w:rPr>
          <w:rFonts w:cs="Times New Roman"/>
        </w:rPr>
        <w:t>o protokolu</w:t>
      </w:r>
      <w:r w:rsidR="00A74551">
        <w:rPr>
          <w:rFonts w:cs="Times New Roman"/>
        </w:rPr>
        <w:t xml:space="preserve"> </w:t>
      </w:r>
      <w:r w:rsidR="00A74551" w:rsidRPr="007A556E">
        <w:rPr>
          <w:rFonts w:cs="Times New Roman"/>
        </w:rPr>
        <w:t xml:space="preserve">bez výhrad či s výhradou těch vad, které nebrání </w:t>
      </w:r>
      <w:r w:rsidR="00D131D4">
        <w:rPr>
          <w:rFonts w:cs="Times New Roman"/>
        </w:rPr>
        <w:t>dílo</w:t>
      </w:r>
      <w:r w:rsidR="00A74551" w:rsidRPr="007A556E">
        <w:rPr>
          <w:rFonts w:cs="Times New Roman"/>
        </w:rPr>
        <w:t xml:space="preserve"> akceptovat</w:t>
      </w:r>
      <w:r w:rsidR="003F4B29" w:rsidRPr="009E4AB3">
        <w:rPr>
          <w:rFonts w:cs="Times New Roman"/>
        </w:rPr>
        <w:t>,</w:t>
      </w:r>
      <w:r w:rsidR="00502231" w:rsidRPr="0060154C">
        <w:rPr>
          <w:rFonts w:cs="Times New Roman"/>
        </w:rPr>
        <w:t xml:space="preserve"> se dílo považuje za </w:t>
      </w:r>
      <w:r w:rsidR="00090F66">
        <w:rPr>
          <w:rFonts w:cs="Times New Roman"/>
        </w:rPr>
        <w:t>řádně</w:t>
      </w:r>
      <w:r w:rsidR="00877083" w:rsidRPr="0060154C">
        <w:rPr>
          <w:rFonts w:cs="Times New Roman"/>
        </w:rPr>
        <w:t> </w:t>
      </w:r>
      <w:r w:rsidRPr="0060154C">
        <w:rPr>
          <w:rFonts w:cs="Times New Roman"/>
        </w:rPr>
        <w:t>převzaté a zhotoviteli vzniká právo v souladu s čl. II této smlouvy na zaplacení</w:t>
      </w:r>
      <w:r w:rsidR="008A1F28">
        <w:rPr>
          <w:rFonts w:cs="Times New Roman"/>
        </w:rPr>
        <w:t xml:space="preserve"> ceny</w:t>
      </w:r>
      <w:r w:rsidRPr="0060154C">
        <w:rPr>
          <w:rFonts w:cs="Times New Roman"/>
        </w:rPr>
        <w:t>.</w:t>
      </w:r>
      <w:r w:rsidR="00090F66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>
        <w:rPr>
          <w:rFonts w:cs="Times New Roman"/>
        </w:rPr>
        <w:t xml:space="preserve"> a je v souladu s požadavky na kvalitu stanovenými v čl. VI </w:t>
      </w:r>
      <w:r w:rsidR="006361ED">
        <w:rPr>
          <w:rFonts w:cs="Times New Roman"/>
        </w:rPr>
        <w:t>t</w:t>
      </w:r>
      <w:r w:rsidR="00A34771">
        <w:rPr>
          <w:rFonts w:cs="Times New Roman"/>
        </w:rPr>
        <w:t>éto smlouvy</w:t>
      </w:r>
      <w:r w:rsidR="00090F66">
        <w:rPr>
          <w:rFonts w:cs="Times New Roman"/>
        </w:rPr>
        <w:t xml:space="preserve">.  </w:t>
      </w:r>
    </w:p>
    <w:p w:rsidR="003B6E46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</w:t>
      </w:r>
      <w:r w:rsidR="00725CD0">
        <w:rPr>
          <w:rFonts w:cs="Times New Roman"/>
        </w:rPr>
        <w:t xml:space="preserve"> s účinky převzetí řádně provedeného díla</w:t>
      </w:r>
      <w:r w:rsidRPr="0060154C">
        <w:rPr>
          <w:rFonts w:cs="Times New Roman"/>
        </w:rPr>
        <w:t xml:space="preserve">, pokud dílo nesplňuje </w:t>
      </w:r>
      <w:r w:rsidRPr="0007397E">
        <w:rPr>
          <w:rFonts w:cs="Times New Roman"/>
        </w:rPr>
        <w:t>některý z požadavků na kvalitu stanovenou v čl. V</w:t>
      </w:r>
      <w:r w:rsidR="00EF70E1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</w:t>
      </w:r>
      <w:r w:rsidR="00A34771">
        <w:rPr>
          <w:rFonts w:cs="Times New Roman"/>
        </w:rPr>
        <w:t>, pokud vykazuje vady a nedodělky</w:t>
      </w:r>
      <w:r w:rsidRPr="0060154C">
        <w:rPr>
          <w:rFonts w:cs="Times New Roman"/>
        </w:rPr>
        <w:t>.</w:t>
      </w:r>
    </w:p>
    <w:p w:rsidR="00A34771" w:rsidRPr="0060154C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91DBB">
        <w:rPr>
          <w:rFonts w:cs="Times New Roman"/>
        </w:rPr>
        <w:t xml:space="preserve">Zhotovitel </w:t>
      </w:r>
      <w:r w:rsidR="00B47D2D" w:rsidRPr="00F91DBB">
        <w:rPr>
          <w:rFonts w:cs="Times New Roman"/>
        </w:rPr>
        <w:t xml:space="preserve">oznámí objednateli termín </w:t>
      </w:r>
      <w:r w:rsidRPr="00F91DBB">
        <w:rPr>
          <w:rFonts w:cs="Times New Roman"/>
        </w:rPr>
        <w:t>předlož</w:t>
      </w:r>
      <w:r w:rsidR="00B47D2D" w:rsidRPr="00F91DBB">
        <w:rPr>
          <w:rFonts w:cs="Times New Roman"/>
        </w:rPr>
        <w:t>ení</w:t>
      </w:r>
      <w:r w:rsidRPr="00F91DBB">
        <w:rPr>
          <w:rFonts w:cs="Times New Roman"/>
        </w:rPr>
        <w:t xml:space="preserve"> díla nejpozději </w:t>
      </w:r>
      <w:r w:rsidR="0040275C" w:rsidRPr="00F91DBB">
        <w:rPr>
          <w:rFonts w:cs="Times New Roman"/>
        </w:rPr>
        <w:t>3</w:t>
      </w:r>
      <w:r w:rsidR="00544432" w:rsidRPr="00F91DBB">
        <w:rPr>
          <w:rFonts w:cs="Times New Roman"/>
        </w:rPr>
        <w:t xml:space="preserve"> </w:t>
      </w:r>
      <w:r w:rsidRPr="00F91DBB">
        <w:rPr>
          <w:rFonts w:cs="Times New Roman"/>
        </w:rPr>
        <w:t xml:space="preserve">pracovních dnů před termínem předání dle čl. III </w:t>
      </w:r>
      <w:r w:rsidR="00B47D2D" w:rsidRPr="00F91DBB">
        <w:rPr>
          <w:rFonts w:cs="Times New Roman"/>
        </w:rPr>
        <w:t>t</w:t>
      </w:r>
      <w:r w:rsidRPr="00F91DBB">
        <w:rPr>
          <w:rFonts w:cs="Times New Roman"/>
        </w:rPr>
        <w:t xml:space="preserve">éto smlouvy. </w:t>
      </w:r>
      <w:r w:rsidR="00B47D2D" w:rsidRPr="00F91DBB">
        <w:rPr>
          <w:rFonts w:cs="Times New Roman"/>
        </w:rPr>
        <w:t xml:space="preserve">Objednatel je povinen </w:t>
      </w:r>
      <w:r w:rsidR="00D131D4" w:rsidRPr="00F91DBB">
        <w:rPr>
          <w:rFonts w:cs="Times New Roman"/>
        </w:rPr>
        <w:t xml:space="preserve">převzaté </w:t>
      </w:r>
      <w:r w:rsidR="00B47D2D" w:rsidRPr="00F91DBB">
        <w:rPr>
          <w:rFonts w:cs="Times New Roman"/>
        </w:rPr>
        <w:t>díl</w:t>
      </w:r>
      <w:r w:rsidR="00D131D4" w:rsidRPr="00F91DBB">
        <w:rPr>
          <w:rFonts w:cs="Times New Roman"/>
        </w:rPr>
        <w:t>o</w:t>
      </w:r>
      <w:r w:rsidR="00B47D2D" w:rsidRPr="00F91DBB">
        <w:rPr>
          <w:rFonts w:cs="Times New Roman"/>
        </w:rPr>
        <w:t xml:space="preserve"> zkontrolovat a do </w:t>
      </w:r>
      <w:r w:rsidR="0040275C" w:rsidRPr="00F91DBB">
        <w:rPr>
          <w:rFonts w:cs="Times New Roman"/>
        </w:rPr>
        <w:t>5</w:t>
      </w:r>
      <w:r w:rsidR="00B47D2D" w:rsidRPr="00F91DBB">
        <w:rPr>
          <w:rFonts w:cs="Times New Roman"/>
        </w:rPr>
        <w:t xml:space="preserve"> pracovních dnů po podpisu protokolu o převz</w:t>
      </w:r>
      <w:r w:rsidR="00DB6098" w:rsidRPr="00F91DBB">
        <w:rPr>
          <w:rFonts w:cs="Times New Roman"/>
        </w:rPr>
        <w:t>e</w:t>
      </w:r>
      <w:r w:rsidR="00B47D2D" w:rsidRPr="00F91DBB">
        <w:rPr>
          <w:rFonts w:cs="Times New Roman"/>
        </w:rPr>
        <w:t>tí díla písemně zhotoviteli sdělit, zda dílo odsouhlasil, či nikoliv.</w:t>
      </w:r>
      <w:r w:rsidR="00B47D2D" w:rsidRPr="00FE5E8B">
        <w:rPr>
          <w:rFonts w:cs="Times New Roman"/>
        </w:rPr>
        <w:t xml:space="preserve"> V případě, že dílo přejímá, je objednatel povinen podepsat akceptační protokol. V případě, že objednatel odmítne dílo převzít, sepíší obě strany zápis, v němž uvedou svá stanoviska a jejich odůvodnění a dohodnou náhradní termín předání.</w:t>
      </w:r>
      <w:r w:rsidR="00B47D2D">
        <w:rPr>
          <w:rFonts w:cs="Times New Roman"/>
        </w:rPr>
        <w:t xml:space="preserve">     </w:t>
      </w:r>
    </w:p>
    <w:p w:rsidR="006361ED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</w:t>
      </w:r>
      <w:r w:rsidR="007A3CEB">
        <w:rPr>
          <w:rFonts w:cs="Times New Roman"/>
        </w:rPr>
        <w:t xml:space="preserve"> movitým věcem jako součástem </w:t>
      </w:r>
      <w:r w:rsidRPr="0060154C">
        <w:rPr>
          <w:rFonts w:cs="Times New Roman"/>
        </w:rPr>
        <w:t>díl</w:t>
      </w:r>
      <w:r w:rsidR="007A3CEB">
        <w:rPr>
          <w:rFonts w:cs="Times New Roman"/>
        </w:rPr>
        <w:t>a</w:t>
      </w:r>
      <w:r w:rsidRPr="0060154C">
        <w:rPr>
          <w:rFonts w:cs="Times New Roman"/>
        </w:rPr>
        <w:t xml:space="preserve"> přechází na objednatele okamžikem předání a převzetí </w:t>
      </w:r>
      <w:r w:rsidR="00372DDF">
        <w:rPr>
          <w:rFonts w:cs="Times New Roman"/>
        </w:rPr>
        <w:t>a akceptací dokončeného díla jako celku</w:t>
      </w:r>
      <w:r w:rsidRPr="0060154C">
        <w:rPr>
          <w:rFonts w:cs="Times New Roman"/>
        </w:rPr>
        <w:t>.</w:t>
      </w:r>
      <w:r w:rsidR="008B1478">
        <w:rPr>
          <w:rFonts w:cs="Times New Roman"/>
        </w:rPr>
        <w:t xml:space="preserve"> </w:t>
      </w:r>
    </w:p>
    <w:p w:rsidR="006361ED" w:rsidRP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EF70E1" w:rsidRDefault="007F30BA" w:rsidP="0007550F">
      <w:pPr>
        <w:pStyle w:val="Nadpis2"/>
        <w:spacing w:before="0" w:line="276" w:lineRule="auto"/>
      </w:pPr>
      <w:r w:rsidRPr="009075CD">
        <w:t>V</w:t>
      </w:r>
      <w:r w:rsidR="00EF70E1" w:rsidRPr="009075CD">
        <w:t>. U</w:t>
      </w:r>
      <w:r w:rsidR="00CA3B91" w:rsidRPr="009075CD">
        <w:t>stanovení o poddoda</w:t>
      </w:r>
      <w:r w:rsidR="00EF70E1" w:rsidRPr="009075CD">
        <w:t>vatelích</w:t>
      </w:r>
    </w:p>
    <w:p w:rsidR="006361ED" w:rsidRPr="006361ED" w:rsidRDefault="006361ED" w:rsidP="006361ED"/>
    <w:p w:rsidR="00730826" w:rsidRPr="00C62A6A" w:rsidRDefault="00730826" w:rsidP="0073082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C62A6A">
        <w:rPr>
          <w:szCs w:val="24"/>
        </w:rPr>
        <w:t>Zhotovitel se zavazuje v souladu s podanou nabídkou na</w:t>
      </w:r>
      <w:r w:rsidR="0040275C">
        <w:rPr>
          <w:szCs w:val="24"/>
        </w:rPr>
        <w:t xml:space="preserve"> tuto</w:t>
      </w:r>
      <w:r w:rsidRPr="00C62A6A">
        <w:rPr>
          <w:szCs w:val="24"/>
        </w:rPr>
        <w:t xml:space="preserve"> veřejnou zakázku zajišťovat veškeré smluvní povinnosti sám, tj. bez účasti poddodavatelů. </w:t>
      </w:r>
    </w:p>
    <w:p w:rsidR="00EF70E1" w:rsidRPr="00AA1127" w:rsidRDefault="00BB5233" w:rsidP="008F7133">
      <w:pPr>
        <w:numPr>
          <w:ilvl w:val="0"/>
          <w:numId w:val="16"/>
        </w:numPr>
        <w:spacing w:after="120" w:line="276" w:lineRule="auto"/>
        <w:ind w:left="0" w:hanging="284"/>
        <w:jc w:val="both"/>
        <w:rPr>
          <w:i/>
          <w:szCs w:val="24"/>
        </w:rPr>
      </w:pPr>
      <w:r w:rsidRPr="009E4AB3">
        <w:rPr>
          <w:rFonts w:cs="Times New Roman"/>
        </w:rPr>
        <w:t>Změnit poddodavatele uvedeného v odst. 1 tohoto článku je zhotovitel oprávněn pouze s předchozím písemným souhlasem objednatele</w:t>
      </w:r>
      <w:r w:rsidR="009C0728" w:rsidRPr="009E4AB3">
        <w:rPr>
          <w:rFonts w:cs="Times New Roman"/>
        </w:rPr>
        <w:t>, ledaže by plnění původně svěřené poddodavateli realizoval zhotovitel sám</w:t>
      </w:r>
      <w:r w:rsidR="008F7355" w:rsidRPr="009E4AB3">
        <w:rPr>
          <w:rFonts w:cs="Times New Roman"/>
        </w:rPr>
        <w:t xml:space="preserve"> a byl i k tomuto plnění kvalifikován ve smyslu </w:t>
      </w:r>
      <w:r w:rsidR="008D7F4F" w:rsidRPr="009E4AB3">
        <w:rPr>
          <w:rFonts w:cs="Times New Roman"/>
        </w:rPr>
        <w:t>podmínek stanovených v zadávací dokumentaci veřejné zakázky</w:t>
      </w:r>
      <w:r w:rsidRPr="009E4AB3">
        <w:rPr>
          <w:rFonts w:cs="Times New Roman"/>
        </w:rPr>
        <w:t xml:space="preserve">. Zhotovitel nesmí </w:t>
      </w:r>
      <w:r w:rsidR="009D5F39" w:rsidRPr="009E4AB3">
        <w:rPr>
          <w:rFonts w:cs="Times New Roman"/>
        </w:rPr>
        <w:t>dílo</w:t>
      </w:r>
      <w:r w:rsidRPr="009E4AB3">
        <w:rPr>
          <w:rFonts w:cs="Times New Roman"/>
        </w:rPr>
        <w:t xml:space="preserve"> provádět </w:t>
      </w:r>
      <w:r w:rsidR="009D5F39" w:rsidRPr="009E4AB3">
        <w:rPr>
          <w:rFonts w:cs="Times New Roman"/>
        </w:rPr>
        <w:t>prostřednictvím jiného poddodavatele, než specifikovaného v souladu s odst. 1 tohoto článku</w:t>
      </w:r>
      <w:r w:rsidR="009D5F39">
        <w:rPr>
          <w:szCs w:val="24"/>
        </w:rPr>
        <w:t xml:space="preserve"> či odsouhlaseného objednatelem.</w:t>
      </w:r>
    </w:p>
    <w:p w:rsidR="00BB5233" w:rsidRPr="00BB5233" w:rsidRDefault="00BB5233" w:rsidP="0007550F">
      <w:pPr>
        <w:widowControl w:val="0"/>
        <w:spacing w:after="120" w:line="276" w:lineRule="auto"/>
        <w:jc w:val="both"/>
        <w:rPr>
          <w:i/>
          <w:szCs w:val="24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t>V</w:t>
      </w:r>
      <w:r w:rsidR="007F30BA" w:rsidRPr="0060154C">
        <w:t>I</w:t>
      </w:r>
      <w:r w:rsidRPr="0060154C">
        <w:t>. Kvalita díla</w:t>
      </w:r>
    </w:p>
    <w:p w:rsidR="00F60AB7" w:rsidRPr="00DB6098" w:rsidRDefault="00F60AB7" w:rsidP="0007550F">
      <w:pPr>
        <w:spacing w:after="120" w:line="276" w:lineRule="auto"/>
      </w:pPr>
    </w:p>
    <w:p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:rsidR="00EF70E1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47719B">
        <w:rPr>
          <w:rFonts w:cs="Times New Roman"/>
        </w:rPr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  <w:r w:rsidR="00E53A99">
        <w:rPr>
          <w:rFonts w:cs="Times New Roman"/>
        </w:rPr>
        <w:t>.</w:t>
      </w:r>
    </w:p>
    <w:p w:rsidR="005F7C86" w:rsidRDefault="005F7C86" w:rsidP="0007550F">
      <w:pPr>
        <w:spacing w:after="120" w:line="276" w:lineRule="auto"/>
        <w:jc w:val="both"/>
        <w:rPr>
          <w:rFonts w:cs="Times New Roman"/>
        </w:rPr>
      </w:pPr>
    </w:p>
    <w:p w:rsidR="00EF70E1" w:rsidRDefault="007F30BA" w:rsidP="0007550F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:rsidR="00F60AB7" w:rsidRPr="00DB6098" w:rsidRDefault="00F60AB7" w:rsidP="0007550F">
      <w:pPr>
        <w:spacing w:after="120" w:line="276" w:lineRule="auto"/>
      </w:pPr>
    </w:p>
    <w:p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</w:t>
        </w:r>
        <w:r w:rsidR="009947AF" w:rsidRPr="004F5A59">
          <w:rPr>
            <w:rStyle w:val="Hypertextovodkaz"/>
            <w:rFonts w:cs="Times New Roman"/>
          </w:rPr>
          <w:t>.</w:t>
        </w:r>
        <w:r w:rsidR="009947AF" w:rsidRPr="004F5A59">
          <w:rPr>
            <w:rStyle w:val="Hypertextovodkaz"/>
            <w:rFonts w:cs="Times New Roman"/>
          </w:rPr>
          <w:t>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bez zbytečného odkladu</w:t>
      </w:r>
      <w:r w:rsidRPr="0060154C">
        <w:rPr>
          <w:rFonts w:cs="Times New Roman"/>
        </w:rPr>
        <w:t xml:space="preserve">. </w:t>
      </w:r>
    </w:p>
    <w:p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60154C" w:rsidRPr="00931367" w:rsidRDefault="004A19B4" w:rsidP="0007550F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než bylo vytvořeno.</w:t>
      </w:r>
    </w:p>
    <w:p w:rsidR="00C84C0B" w:rsidRDefault="007F30BA" w:rsidP="0007550F">
      <w:pPr>
        <w:pStyle w:val="Nadpis2"/>
        <w:spacing w:before="0" w:line="276" w:lineRule="auto"/>
      </w:pPr>
      <w:r w:rsidRPr="0060154C">
        <w:t>VIII</w:t>
      </w:r>
      <w:r w:rsidR="00C84C0B" w:rsidRPr="0060154C">
        <w:t>. Smluvní pokuta</w:t>
      </w:r>
    </w:p>
    <w:p w:rsidR="00F60AB7" w:rsidRPr="00C879E0" w:rsidRDefault="00F60AB7" w:rsidP="0007550F">
      <w:pPr>
        <w:spacing w:after="120" w:line="276" w:lineRule="auto"/>
      </w:pPr>
    </w:p>
    <w:p w:rsidR="003E1967" w:rsidRDefault="00C84C0B" w:rsidP="003E1967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Za prodlení s termínem předání díla</w:t>
      </w:r>
      <w:r w:rsidR="00940E95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zaplatí zhotovitel objednateli smluvní pokutu </w:t>
      </w:r>
      <w:r w:rsidR="003E1967">
        <w:rPr>
          <w:rFonts w:cs="Times New Roman"/>
        </w:rPr>
        <w:t>1.000</w:t>
      </w:r>
      <w:r w:rsidR="003E1967" w:rsidRPr="00BE2197">
        <w:rPr>
          <w:rFonts w:cs="Times New Roman"/>
        </w:rPr>
        <w:t>,-</w:t>
      </w:r>
      <w:r w:rsidR="003E1967" w:rsidRPr="0060154C">
        <w:rPr>
          <w:rFonts w:cs="Times New Roman"/>
        </w:rPr>
        <w:t xml:space="preserve"> Kč (slovy: </w:t>
      </w:r>
      <w:r w:rsidR="003E1967">
        <w:rPr>
          <w:rFonts w:cs="Times New Roman"/>
        </w:rPr>
        <w:t xml:space="preserve">tisíc </w:t>
      </w:r>
      <w:r w:rsidR="003E1967" w:rsidRPr="0060154C">
        <w:rPr>
          <w:rFonts w:cs="Times New Roman"/>
        </w:rPr>
        <w:t>korun českých)</w:t>
      </w:r>
      <w:r w:rsidRPr="0060154C">
        <w:rPr>
          <w:rFonts w:cs="Times New Roman"/>
        </w:rPr>
        <w:t xml:space="preserve"> za každý započatý den prodlení.</w:t>
      </w:r>
    </w:p>
    <w:p w:rsidR="003E1967" w:rsidRPr="003E1967" w:rsidRDefault="003E1967" w:rsidP="003E1967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E1967">
        <w:rPr>
          <w:rFonts w:cs="Times New Roman"/>
        </w:rPr>
        <w:t>Neodstraní-li zhotovitel vadu díla v záruční době do 14 dnů od zjištění vady a jejího oznámení zhotoviteli, zaplatí objednateli smluvní pokutu ve výši 1.000,- Kč (slovy: tisíc korun českých) za každý den prodlení.</w:t>
      </w:r>
    </w:p>
    <w:p w:rsidR="009B2A9A" w:rsidRPr="007D31B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:rsidR="009B2A9A" w:rsidRPr="003030F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030FC">
        <w:rPr>
          <w:rFonts w:cs="Times New Roman"/>
        </w:rPr>
        <w:lastRenderedPageBreak/>
        <w:t>Z</w:t>
      </w:r>
      <w:r w:rsidR="009B2A9A" w:rsidRPr="003030FC">
        <w:rPr>
          <w:rFonts w:cs="Times New Roman"/>
        </w:rPr>
        <w:t>a každé jednotlivé porušení povinnosti uvedené v</w:t>
      </w:r>
      <w:r w:rsidR="006361ED">
        <w:rPr>
          <w:rFonts w:cs="Times New Roman"/>
        </w:rPr>
        <w:t xml:space="preserve"> </w:t>
      </w:r>
      <w:r w:rsidR="009B2A9A" w:rsidRPr="00F014F2">
        <w:rPr>
          <w:rFonts w:cs="Times New Roman"/>
        </w:rPr>
        <w:t xml:space="preserve">čl. </w:t>
      </w:r>
      <w:r w:rsidRPr="00F014F2">
        <w:rPr>
          <w:rFonts w:cs="Times New Roman"/>
        </w:rPr>
        <w:t>I</w:t>
      </w:r>
      <w:r w:rsidR="009B2A9A" w:rsidRPr="00F014F2">
        <w:rPr>
          <w:rFonts w:cs="Times New Roman"/>
        </w:rPr>
        <w:t xml:space="preserve">X odst. </w:t>
      </w:r>
      <w:r w:rsidR="00F014F2">
        <w:rPr>
          <w:rFonts w:cs="Times New Roman"/>
        </w:rPr>
        <w:t>2</w:t>
      </w:r>
      <w:r w:rsidR="009B2A9A" w:rsidRPr="003030FC">
        <w:rPr>
          <w:rFonts w:cs="Times New Roman"/>
        </w:rPr>
        <w:t xml:space="preserve"> této smlouvy je zhotovitel povinen zaplatit objednateli smluvní pokutu ve výši 50</w:t>
      </w:r>
      <w:r w:rsidR="002268D8">
        <w:rPr>
          <w:rFonts w:cs="Times New Roman"/>
        </w:rPr>
        <w:t xml:space="preserve"> </w:t>
      </w:r>
      <w:r w:rsidR="009B2A9A" w:rsidRPr="003030FC">
        <w:rPr>
          <w:rFonts w:cs="Times New Roman"/>
        </w:rPr>
        <w:t>000 Kč</w:t>
      </w:r>
      <w:r w:rsidR="009947AF">
        <w:rPr>
          <w:rFonts w:cs="Times New Roman"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9947AF">
        <w:rPr>
          <w:rFonts w:cs="Times New Roman"/>
        </w:rPr>
        <w:t>padesát</w:t>
      </w:r>
      <w:r w:rsidR="009947AF" w:rsidRPr="00315074">
        <w:rPr>
          <w:rFonts w:cs="Times New Roman"/>
        </w:rPr>
        <w:t xml:space="preserve"> tisíc korun českých)</w:t>
      </w:r>
      <w:r w:rsidR="009B2A9A" w:rsidRPr="003030FC">
        <w:rPr>
          <w:rFonts w:cs="Times New Roman"/>
        </w:rPr>
        <w:t>.</w:t>
      </w:r>
    </w:p>
    <w:p w:rsidR="005030DF" w:rsidRPr="00E120C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20CC">
        <w:rPr>
          <w:rFonts w:cs="Times New Roman"/>
          <w:iCs/>
        </w:rPr>
        <w:t>Z</w:t>
      </w:r>
      <w:r w:rsidR="009B2A9A" w:rsidRPr="00E120CC">
        <w:rPr>
          <w:rFonts w:cs="Times New Roman"/>
          <w:iCs/>
        </w:rPr>
        <w:t xml:space="preserve">a každé jednotlivé porušení povinností uvedených v čl. </w:t>
      </w:r>
      <w:r w:rsidRPr="00E120CC">
        <w:rPr>
          <w:rFonts w:cs="Times New Roman"/>
          <w:iCs/>
        </w:rPr>
        <w:t>X</w:t>
      </w:r>
      <w:r w:rsidR="009B2A9A" w:rsidRPr="00E120CC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E120CC">
        <w:rPr>
          <w:rFonts w:cs="Times New Roman"/>
          <w:iCs/>
        </w:rPr>
        <w:t>zhotovitel</w:t>
      </w:r>
      <w:r w:rsidR="009B2A9A" w:rsidRPr="00E120CC">
        <w:rPr>
          <w:rFonts w:cs="Times New Roman"/>
          <w:iCs/>
        </w:rPr>
        <w:t xml:space="preserve"> povinen zaplatit objednateli smluvní pokutu ve výši </w:t>
      </w:r>
      <w:r w:rsidR="003E1967">
        <w:rPr>
          <w:rFonts w:cs="Times New Roman"/>
          <w:iCs/>
        </w:rPr>
        <w:t>5</w:t>
      </w:r>
      <w:r w:rsidR="00B40C36" w:rsidRPr="00E120CC">
        <w:rPr>
          <w:rFonts w:cs="Times New Roman"/>
          <w:iCs/>
        </w:rPr>
        <w:t>0 000</w:t>
      </w:r>
      <w:r w:rsidR="009B2A9A" w:rsidRPr="00E120CC">
        <w:rPr>
          <w:rFonts w:cs="Times New Roman"/>
          <w:iCs/>
        </w:rPr>
        <w:t xml:space="preserve"> Kč</w:t>
      </w:r>
      <w:r w:rsidR="009947AF">
        <w:rPr>
          <w:rFonts w:cs="Times New Roman"/>
          <w:iCs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3E1967">
        <w:rPr>
          <w:rFonts w:cs="Times New Roman"/>
        </w:rPr>
        <w:t>padesát</w:t>
      </w:r>
      <w:r w:rsidR="009947AF" w:rsidRPr="00315074">
        <w:rPr>
          <w:rFonts w:cs="Times New Roman"/>
        </w:rPr>
        <w:t xml:space="preserve"> tisíc korun českých)</w:t>
      </w:r>
    </w:p>
    <w:p w:rsidR="00C84C0B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5074">
        <w:rPr>
          <w:rFonts w:cs="Times New Roman"/>
        </w:rPr>
        <w:t>Neodstraní-li zhotovitel vadu díla</w:t>
      </w:r>
      <w:r w:rsidR="00180CDB" w:rsidRPr="00315074">
        <w:rPr>
          <w:rFonts w:cs="Times New Roman"/>
        </w:rPr>
        <w:t xml:space="preserve"> </w:t>
      </w:r>
      <w:r w:rsidRPr="00315074">
        <w:rPr>
          <w:rFonts w:cs="Times New Roman"/>
        </w:rPr>
        <w:t xml:space="preserve">do 14 dnů od zjištění vady a jejího oznámení zhotoviteli, </w:t>
      </w:r>
      <w:r w:rsidR="002C0A8D" w:rsidRPr="00315074">
        <w:rPr>
          <w:rFonts w:cs="Times New Roman"/>
        </w:rPr>
        <w:t xml:space="preserve">ve smyslu čl. VII odst. 2,3 této smlouvy, </w:t>
      </w:r>
      <w:r w:rsidRPr="00315074">
        <w:rPr>
          <w:rFonts w:cs="Times New Roman"/>
        </w:rPr>
        <w:t>zaplatí objednateli smluvní pokutu ve výši</w:t>
      </w:r>
      <w:r w:rsidR="002C0A8D" w:rsidRPr="00315074">
        <w:rPr>
          <w:rFonts w:cs="Times New Roman"/>
        </w:rPr>
        <w:t xml:space="preserve"> 0,</w:t>
      </w:r>
      <w:r w:rsidR="00F91DBB">
        <w:rPr>
          <w:rFonts w:cs="Times New Roman"/>
        </w:rPr>
        <w:t>5</w:t>
      </w:r>
      <w:r w:rsidR="0073686B">
        <w:rPr>
          <w:rFonts w:cs="Times New Roman"/>
        </w:rPr>
        <w:t xml:space="preserve"> </w:t>
      </w:r>
      <w:r w:rsidR="002C0A8D" w:rsidRPr="00315074">
        <w:rPr>
          <w:rFonts w:cs="Times New Roman"/>
        </w:rPr>
        <w:t>% z celkové ceny díla</w:t>
      </w:r>
      <w:r w:rsidRPr="00315074">
        <w:rPr>
          <w:rFonts w:cs="Times New Roman"/>
        </w:rPr>
        <w:t xml:space="preserve"> za každý den prodlení.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:rsidR="00315074" w:rsidRPr="0060154C" w:rsidRDefault="00315074" w:rsidP="0007550F">
      <w:pPr>
        <w:spacing w:after="120" w:line="276" w:lineRule="auto"/>
        <w:jc w:val="both"/>
        <w:rPr>
          <w:rFonts w:cs="Times New Roman"/>
        </w:rPr>
      </w:pPr>
    </w:p>
    <w:p w:rsidR="00BE6807" w:rsidRPr="009075CD" w:rsidRDefault="00BE6807" w:rsidP="0007550F">
      <w:pPr>
        <w:pStyle w:val="Nadpis2"/>
        <w:spacing w:before="0" w:line="276" w:lineRule="auto"/>
      </w:pPr>
      <w:r w:rsidRPr="00B22607">
        <w:rPr>
          <w:i/>
        </w:rPr>
        <w:t xml:space="preserve"> </w:t>
      </w:r>
      <w:r w:rsidR="007F30BA" w:rsidRPr="009075CD">
        <w:t>I</w:t>
      </w:r>
      <w:r w:rsidR="00EF70E1" w:rsidRPr="009075CD">
        <w:t>X</w:t>
      </w:r>
      <w:r w:rsidRPr="009075CD">
        <w:t>. Ustanovení o právním vztahu k autorskému zákonu</w:t>
      </w:r>
    </w:p>
    <w:p w:rsidR="00BE6807" w:rsidRDefault="00BE6807" w:rsidP="0007550F">
      <w:pPr>
        <w:pStyle w:val="Nadpis2"/>
        <w:spacing w:before="0" w:line="276" w:lineRule="auto"/>
      </w:pPr>
      <w:r w:rsidRPr="009075CD">
        <w:t>„licenční doložka“</w:t>
      </w:r>
    </w:p>
    <w:p w:rsidR="003B7B4B" w:rsidRPr="003B7B4B" w:rsidRDefault="003B7B4B" w:rsidP="003B7B4B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:rsidR="003B7B4B" w:rsidRPr="003C7266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t xml:space="preserve">Smluvní strany svým podpisem prohlašují, že výsledkem činnosti zhotovitele nemá být autorské dílo </w:t>
      </w:r>
      <w:r w:rsidR="003C7266">
        <w:rPr>
          <w:rFonts w:cs="Times New Roman"/>
        </w:rPr>
        <w:t>ve smyslu</w:t>
      </w:r>
      <w:r w:rsidRPr="009E4AB3">
        <w:rPr>
          <w:rFonts w:cs="Times New Roman"/>
        </w:rPr>
        <w:t xml:space="preserve"> </w:t>
      </w:r>
      <w:r w:rsidR="003C7266">
        <w:rPr>
          <w:rFonts w:cs="Times New Roman"/>
        </w:rPr>
        <w:t>z</w:t>
      </w:r>
      <w:r w:rsidR="003C7266" w:rsidRPr="003C7266">
        <w:rPr>
          <w:rFonts w:cs="Times New Roman"/>
        </w:rPr>
        <w:t>ákon</w:t>
      </w:r>
      <w:r w:rsidR="003C7266">
        <w:rPr>
          <w:rFonts w:cs="Times New Roman"/>
        </w:rPr>
        <w:t>a</w:t>
      </w:r>
      <w:r w:rsidR="003C7266" w:rsidRPr="003C7266">
        <w:rPr>
          <w:rFonts w:cs="Times New Roman"/>
        </w:rPr>
        <w:t xml:space="preserve"> č. 121/2000 Sb.</w:t>
      </w:r>
      <w:r w:rsidR="003C7266">
        <w:rPr>
          <w:rFonts w:cs="Times New Roman"/>
        </w:rPr>
        <w:t xml:space="preserve">, </w:t>
      </w:r>
      <w:r w:rsidR="003C7266" w:rsidRPr="003C7266">
        <w:rPr>
          <w:rFonts w:cs="Times New Roman"/>
        </w:rPr>
        <w:t>o právu autorském, o právech souvisejících s právem autorským a</w:t>
      </w:r>
      <w:r w:rsidR="003C7266">
        <w:rPr>
          <w:rFonts w:cs="Times New Roman"/>
        </w:rPr>
        <w:t> </w:t>
      </w:r>
      <w:r w:rsidR="003C7266" w:rsidRPr="003C7266">
        <w:rPr>
          <w:rFonts w:cs="Times New Roman"/>
        </w:rPr>
        <w:t>o změně některých zákonů</w:t>
      </w:r>
      <w:r w:rsidR="003C7266">
        <w:rPr>
          <w:rFonts w:cs="Times New Roman"/>
        </w:rPr>
        <w:t>, ve znění pozdějších předpisů</w:t>
      </w:r>
      <w:r w:rsidR="003C7266" w:rsidRPr="003C7266">
        <w:rPr>
          <w:rFonts w:cs="Times New Roman"/>
        </w:rPr>
        <w:t xml:space="preserve"> (autorský zákon)</w:t>
      </w:r>
      <w:r w:rsidRPr="003C7266">
        <w:rPr>
          <w:rFonts w:cs="Times New Roman"/>
        </w:rPr>
        <w:t>. Pro případ, že by se tak stalo, poskytuje zhotovitel objednateli bezúplatně nevýhradní licenci k předmětu smlouvy, tedy oprávnění k výkonu práva dílo užít, a to všemi způsoby užití zejména: zveřejnit, zpracovat, změnit, upravit a takto je užít v neomezeném rozsahu dle tohoto článku, užít pouze část díla a spojit dílo s</w:t>
      </w:r>
      <w:r w:rsidR="003C7266">
        <w:rPr>
          <w:rFonts w:cs="Times New Roman"/>
        </w:rPr>
        <w:t> </w:t>
      </w:r>
      <w:r w:rsidRPr="003C7266">
        <w:rPr>
          <w:rFonts w:cs="Times New Roman"/>
        </w:rPr>
        <w:t>jinými díly a zařadit je do díla souborného v rozsahu neomezeném, na celou dobu trvání majetkových autorských práv k dílu a pro území celého světa; a</w:t>
      </w:r>
      <w:r w:rsidR="006361ED" w:rsidRPr="003C7266">
        <w:rPr>
          <w:rFonts w:cs="Times New Roman"/>
        </w:rPr>
        <w:t> </w:t>
      </w:r>
      <w:r w:rsidRPr="003C7266">
        <w:rPr>
          <w:rFonts w:cs="Times New Roman"/>
        </w:rPr>
        <w:t xml:space="preserve">rovněž udílí souhlas tuto licenci bez omezení poskytnout podlicenčně třetí osobě či ji postoupit. </w:t>
      </w:r>
    </w:p>
    <w:p w:rsidR="00F014F2" w:rsidRPr="00F014F2" w:rsidRDefault="00F014F2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14F2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6D310B">
        <w:rPr>
          <w:rFonts w:cs="Times New Roman"/>
          <w:iCs/>
        </w:rPr>
        <w:t>, nezbytně se vztahující k předmětu smlouvy, které jsou nutné pro provoz a jeho využití, a to současně s</w:t>
      </w:r>
      <w:r>
        <w:rPr>
          <w:rFonts w:cs="Times New Roman"/>
          <w:iCs/>
        </w:rPr>
        <w:t> </w:t>
      </w:r>
      <w:r w:rsidRPr="006D310B">
        <w:rPr>
          <w:rFonts w:cs="Times New Roman"/>
          <w:iCs/>
        </w:rPr>
        <w:t>předáním předmětu smlouvy nebo jeho části objednateli.</w:t>
      </w:r>
    </w:p>
    <w:p w:rsidR="003B7B4B" w:rsidRPr="003B7B4B" w:rsidRDefault="003B7B4B" w:rsidP="008F7133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4AB3">
        <w:rPr>
          <w:rFonts w:cs="Times New Roman"/>
        </w:rPr>
        <w:t>S ohledem na veřejnoprávní povahu objednatele, který musí naplňovat podmínky transparentnosti a</w:t>
      </w:r>
      <w:r w:rsidR="006361ED">
        <w:rPr>
          <w:rFonts w:cs="Times New Roman"/>
        </w:rPr>
        <w:t> </w:t>
      </w:r>
      <w:r w:rsidRPr="009E4AB3">
        <w:rPr>
          <w:rFonts w:cs="Times New Roman"/>
        </w:rPr>
        <w:t xml:space="preserve">plnit povinnosti dle </w:t>
      </w:r>
      <w:r w:rsidR="009E48D6">
        <w:rPr>
          <w:rFonts w:cs="Times New Roman"/>
        </w:rPr>
        <w:t xml:space="preserve">zákona </w:t>
      </w:r>
      <w:r w:rsidR="009E48D6" w:rsidRPr="009E48D6">
        <w:rPr>
          <w:rFonts w:cs="Times New Roman"/>
        </w:rPr>
        <w:t>č. 106/1999 Sb., o svobodném přístupu k informacím, ve znění pozdějších předpisů</w:t>
      </w:r>
      <w:r w:rsidRPr="009E4AB3">
        <w:rPr>
          <w:rFonts w:cs="Times New Roman"/>
        </w:rPr>
        <w:t xml:space="preserve">, se smluvní strany dohodly, že objednatel je oprávněn bez omezení zveřejnit </w:t>
      </w:r>
      <w:r w:rsidRPr="009E4AB3">
        <w:rPr>
          <w:rFonts w:cs="Times New Roman"/>
        </w:rPr>
        <w:lastRenderedPageBreak/>
        <w:t xml:space="preserve">výsledek činnosti zhotovitele. Ke zveřejnění může dojít v jakékoli podobě (tiskem, prostřednictvím internetových stránek, veřejnou prezentací atd.). </w:t>
      </w:r>
    </w:p>
    <w:p w:rsidR="00BF472E" w:rsidRPr="006D310B" w:rsidRDefault="00BF472E" w:rsidP="006D310B">
      <w:pPr>
        <w:pStyle w:val="Zkladntext2"/>
        <w:spacing w:line="276" w:lineRule="auto"/>
        <w:jc w:val="both"/>
        <w:rPr>
          <w:rFonts w:cs="Times New Roman"/>
        </w:rPr>
      </w:pPr>
    </w:p>
    <w:p w:rsidR="00883398" w:rsidRDefault="007F30BA" w:rsidP="0007550F">
      <w:pPr>
        <w:pStyle w:val="Nadpis2"/>
        <w:spacing w:before="0" w:line="276" w:lineRule="auto"/>
      </w:pPr>
      <w:r w:rsidRPr="0060154C">
        <w:t>X</w:t>
      </w:r>
      <w:r w:rsidR="00883398" w:rsidRPr="0060154C">
        <w:t>. Ochrana důvěrných informací</w:t>
      </w:r>
    </w:p>
    <w:p w:rsidR="009075CD" w:rsidRPr="009075CD" w:rsidRDefault="009075CD" w:rsidP="0007550F">
      <w:pPr>
        <w:spacing w:after="120" w:line="276" w:lineRule="auto"/>
      </w:pP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:rsidR="00883398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:rsidR="006361ED" w:rsidRPr="0060154C" w:rsidRDefault="006361ED" w:rsidP="006361ED">
      <w:pPr>
        <w:spacing w:after="120" w:line="276" w:lineRule="auto"/>
        <w:jc w:val="both"/>
        <w:rPr>
          <w:rFonts w:cs="Times New Roman"/>
        </w:rPr>
      </w:pPr>
    </w:p>
    <w:p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Trvání a ukončení smlouvy</w:t>
      </w:r>
    </w:p>
    <w:p w:rsidR="009075CD" w:rsidRPr="009075CD" w:rsidRDefault="009075CD" w:rsidP="0007550F">
      <w:pPr>
        <w:spacing w:after="120" w:line="276" w:lineRule="auto"/>
      </w:pPr>
    </w:p>
    <w:p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:rsidR="001D54B4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:rsidR="001D54B4" w:rsidRPr="003E1967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E1967">
        <w:rPr>
          <w:rFonts w:cs="Times New Roman"/>
        </w:rPr>
        <w:t>písemnou výpovědí za podmínek uvedených v odst. 3 tohoto článku</w:t>
      </w:r>
      <w:r w:rsidR="001D54B4" w:rsidRPr="003E1967">
        <w:rPr>
          <w:rFonts w:cs="Times New Roman"/>
        </w:rPr>
        <w:t xml:space="preserve">, </w:t>
      </w:r>
    </w:p>
    <w:p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odstoupením od smlouvy</w:t>
      </w:r>
      <w:r w:rsidR="00DA50A6">
        <w:rPr>
          <w:rFonts w:cs="Times New Roman"/>
        </w:rPr>
        <w:t xml:space="preserve"> </w:t>
      </w:r>
      <w:r w:rsidR="00DA50A6" w:rsidRPr="00FE2031">
        <w:rPr>
          <w:rFonts w:cs="Times New Roman"/>
        </w:rPr>
        <w:t>za podmínek uvedených v odst. 4 tohoto článku.</w:t>
      </w:r>
    </w:p>
    <w:p w:rsidR="006F12D4" w:rsidRPr="003F4B2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4B29">
        <w:rPr>
          <w:rFonts w:cs="Times New Roman"/>
        </w:rPr>
        <w:t>Smluvní strany mohou podat výpověď i bez udání důvodu</w:t>
      </w:r>
      <w:r w:rsidRPr="003E1967">
        <w:rPr>
          <w:rFonts w:cs="Times New Roman"/>
        </w:rPr>
        <w:t>. Výpovědní lhůta činí 3 měsíc</w:t>
      </w:r>
      <w:r w:rsidR="00D37798" w:rsidRPr="003E1967">
        <w:rPr>
          <w:rFonts w:cs="Times New Roman"/>
        </w:rPr>
        <w:t>e</w:t>
      </w:r>
      <w:r w:rsidRPr="003E1967">
        <w:rPr>
          <w:rFonts w:cs="Times New Roman"/>
        </w:rPr>
        <w:t xml:space="preserve"> a</w:t>
      </w:r>
      <w:r w:rsidRPr="003F4B29">
        <w:rPr>
          <w:rFonts w:cs="Times New Roman"/>
        </w:rPr>
        <w:t> počíná běžet prvním dnem kalendářního měsíce následujícího po měsíci, v němž byla výpověď druhé smluvní straně doručena.</w:t>
      </w:r>
    </w:p>
    <w:p w:rsidR="00581438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:rsidR="00581438" w:rsidRPr="0060154C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cs="Times New Roman"/>
        </w:rPr>
        <w:lastRenderedPageBreak/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>jejím uplynutím, že vady neodstraní</w:t>
      </w:r>
      <w:r w:rsidR="00581438" w:rsidRPr="0060154C">
        <w:rPr>
          <w:rFonts w:cs="Times New Roman"/>
        </w:rPr>
        <w:t>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odst. </w:t>
      </w:r>
      <w:r w:rsidR="0073686B">
        <w:t>6</w:t>
      </w:r>
      <w:r>
        <w:t xml:space="preserve"> této smlouvy.</w:t>
      </w:r>
    </w:p>
    <w:p w:rsidR="00EE02E8" w:rsidRDefault="00EE02E8" w:rsidP="0007550F">
      <w:pPr>
        <w:pStyle w:val="Nadpis2"/>
        <w:spacing w:before="0" w:line="276" w:lineRule="auto"/>
      </w:pPr>
    </w:p>
    <w:p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II</w:t>
      </w:r>
      <w:r w:rsidRPr="0060154C">
        <w:t>. Ustanovení o doručování</w:t>
      </w:r>
    </w:p>
    <w:p w:rsidR="006361ED" w:rsidRPr="006361ED" w:rsidRDefault="006361ED" w:rsidP="006361ED"/>
    <w:p w:rsidR="00D55625" w:rsidRPr="0060154C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6C1EDF" w:rsidRPr="00F91DBB" w:rsidRDefault="006C1EDF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3" w:history="1">
        <w:r w:rsidRPr="00A14839">
          <w:rPr>
            <w:rStyle w:val="Hypertextovodkaz"/>
          </w:rPr>
          <w:t>podatelna@ipr.praha.eu</w:t>
        </w:r>
      </w:hyperlink>
      <w:r w:rsidRPr="00A14839">
        <w:rPr>
          <w:rStyle w:val="Hypertextovodkaz"/>
          <w:bCs/>
          <w:color w:val="auto"/>
        </w:rPr>
        <w:t>).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</w:r>
      <w:r w:rsidRPr="00F91DBB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a její dodatky musí být podepsány uznávaným elektronickým podpisem.</w:t>
      </w:r>
    </w:p>
    <w:p w:rsidR="003E1967" w:rsidRPr="00F91DBB" w:rsidRDefault="001D54B4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91DBB">
        <w:rPr>
          <w:rFonts w:cs="Times New Roman"/>
        </w:rPr>
        <w:t>Kontaktní osobou na straně objednatele je</w:t>
      </w:r>
      <w:r w:rsidR="003E1967" w:rsidRPr="00F91DBB">
        <w:rPr>
          <w:rFonts w:cs="Times New Roman"/>
        </w:rPr>
        <w:t>:</w:t>
      </w:r>
    </w:p>
    <w:p w:rsidR="003B6E46" w:rsidRPr="00F91DBB" w:rsidRDefault="00B8583E" w:rsidP="003E196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xxxxxxxxxxxxxx</w:t>
      </w:r>
      <w:r w:rsidR="003B6E46" w:rsidRPr="00F91DBB">
        <w:rPr>
          <w:rFonts w:cs="Times New Roman"/>
        </w:rPr>
        <w:t xml:space="preserve"> tel.</w:t>
      </w:r>
      <w:r w:rsidR="00F91DBB">
        <w:rPr>
          <w:rFonts w:cs="Times New Roman"/>
        </w:rPr>
        <w:t xml:space="preserve">: </w:t>
      </w:r>
      <w:r>
        <w:rPr>
          <w:rFonts w:cs="Times New Roman"/>
        </w:rPr>
        <w:t>xxxxxxxxxx</w:t>
      </w:r>
      <w:r w:rsidR="003B6E46" w:rsidRPr="00F91DBB">
        <w:rPr>
          <w:rFonts w:cs="Times New Roman"/>
        </w:rPr>
        <w:t>, e-mail:</w:t>
      </w:r>
      <w:r>
        <w:rPr>
          <w:rFonts w:cs="Times New Roman"/>
        </w:rPr>
        <w:t xml:space="preserve"> xxxxxxxxxxxxxx.</w:t>
      </w:r>
      <w:r w:rsidR="003E1967" w:rsidRPr="00F91DBB">
        <w:rPr>
          <w:rFonts w:cs="Times New Roman"/>
        </w:rPr>
        <w:t xml:space="preserve"> </w:t>
      </w:r>
    </w:p>
    <w:p w:rsidR="003E1967" w:rsidRPr="00F91DBB" w:rsidRDefault="00B8583E" w:rsidP="003E1967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xxxxxxxxxxxxxx</w:t>
      </w:r>
      <w:r w:rsidRPr="00F91DBB">
        <w:rPr>
          <w:rFonts w:cs="Times New Roman"/>
        </w:rPr>
        <w:t xml:space="preserve"> tel.</w:t>
      </w:r>
      <w:r>
        <w:rPr>
          <w:rFonts w:cs="Times New Roman"/>
        </w:rPr>
        <w:t>: xxxxxxxxxx</w:t>
      </w:r>
      <w:r w:rsidRPr="00F91DBB">
        <w:rPr>
          <w:rFonts w:cs="Times New Roman"/>
        </w:rPr>
        <w:t>, e-mail:</w:t>
      </w:r>
      <w:r>
        <w:rPr>
          <w:rFonts w:cs="Times New Roman"/>
        </w:rPr>
        <w:t xml:space="preserve"> xxxxxxxxxxxxxx</w:t>
      </w:r>
      <w:r w:rsidR="003E1967" w:rsidRPr="00F91DBB">
        <w:rPr>
          <w:rFonts w:cs="Times New Roman"/>
        </w:rPr>
        <w:t>.</w:t>
      </w:r>
    </w:p>
    <w:p w:rsidR="003E1967" w:rsidRPr="00DA50A6" w:rsidRDefault="003E1967" w:rsidP="003E1967">
      <w:pPr>
        <w:spacing w:after="120" w:line="276" w:lineRule="auto"/>
        <w:jc w:val="both"/>
        <w:rPr>
          <w:rFonts w:cs="Times New Roman"/>
          <w:highlight w:val="cyan"/>
        </w:rPr>
      </w:pPr>
    </w:p>
    <w:p w:rsidR="001D54B4" w:rsidRPr="00BE2197" w:rsidRDefault="001D54B4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B8583E">
        <w:rPr>
          <w:rFonts w:cs="Times New Roman"/>
        </w:rPr>
        <w:t>xxxxxxxxxxx</w:t>
      </w:r>
      <w:r w:rsidRPr="00BE2197">
        <w:rPr>
          <w:rFonts w:cs="Times New Roman"/>
        </w:rPr>
        <w:t>, tel.</w:t>
      </w:r>
      <w:r w:rsidR="003E1967">
        <w:rPr>
          <w:rFonts w:cs="Times New Roman"/>
        </w:rPr>
        <w:t>:</w:t>
      </w:r>
      <w:r w:rsidR="00B8583E">
        <w:rPr>
          <w:rFonts w:cs="Times New Roman"/>
        </w:rPr>
        <w:t xml:space="preserve"> xxxxxxxxx</w:t>
      </w:r>
      <w:r w:rsidRPr="00BE2197">
        <w:rPr>
          <w:rFonts w:cs="Times New Roman"/>
        </w:rPr>
        <w:t>, e-mail:</w:t>
      </w:r>
      <w:r w:rsidR="00B8583E">
        <w:rPr>
          <w:rFonts w:cs="Times New Roman"/>
        </w:rPr>
        <w:t xml:space="preserve"> xxxxxxxxxx</w:t>
      </w:r>
      <w:r w:rsidR="003E1967">
        <w:rPr>
          <w:rFonts w:cs="Times New Roman"/>
        </w:rPr>
        <w:t>.</w:t>
      </w:r>
    </w:p>
    <w:p w:rsidR="001D54B4" w:rsidRPr="0060154C" w:rsidRDefault="001D54B4" w:rsidP="0007550F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:rsidR="001D54B4" w:rsidRDefault="007F30BA" w:rsidP="0007550F">
      <w:pPr>
        <w:pStyle w:val="Nadpis2"/>
        <w:spacing w:before="0" w:line="276" w:lineRule="auto"/>
      </w:pPr>
      <w:r w:rsidRPr="0060154C">
        <w:t>XIII</w:t>
      </w:r>
      <w:r w:rsidR="001D54B4" w:rsidRPr="0060154C">
        <w:t>. Závěrečná ustanovení</w:t>
      </w:r>
    </w:p>
    <w:p w:rsidR="005B5118" w:rsidRPr="005B5118" w:rsidRDefault="005B5118" w:rsidP="0007550F">
      <w:pPr>
        <w:spacing w:after="120" w:line="276" w:lineRule="auto"/>
      </w:pPr>
    </w:p>
    <w:p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 xml:space="preserve">případě, že by se stalo některé ustanovení smlouvy neplatným, zůstávají ostatní ustanovení i nadále </w:t>
      </w:r>
      <w:r w:rsidRPr="0060154C">
        <w:rPr>
          <w:rFonts w:cs="Times New Roman"/>
        </w:rPr>
        <w:lastRenderedPageBreak/>
        <w:t>v platnosti, ledaže právní předpis stanoví jinak. Práva a povinnosti smluvních stran z této smlouvy přecházejí na jejich právní nástupce.</w:t>
      </w:r>
    </w:p>
    <w:p w:rsidR="00D5405C" w:rsidRPr="0060154C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:rsidR="0092768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3E1967">
        <w:rPr>
          <w:rFonts w:cs="Times New Roman"/>
        </w:rPr>
        <w:t>. Zhotovitel obdrží potvrzení o uveřejnění v registru smluv automaticky vygenerované správcem registru</w:t>
      </w:r>
      <w:r w:rsidR="00AD1951" w:rsidRPr="003E1967">
        <w:rPr>
          <w:rFonts w:cs="Times New Roman"/>
        </w:rPr>
        <w:t xml:space="preserve"> </w:t>
      </w:r>
      <w:r w:rsidR="00F62790" w:rsidRPr="003E1967">
        <w:rPr>
          <w:rFonts w:cs="Times New Roman"/>
        </w:rPr>
        <w:t>smluv do své datové schránky</w:t>
      </w:r>
      <w:r w:rsidR="006C1EDF" w:rsidRPr="003E1967">
        <w:rPr>
          <w:rFonts w:cs="Times New Roman"/>
        </w:rPr>
        <w:t xml:space="preserve">. </w:t>
      </w:r>
      <w:r w:rsidRPr="003E1967">
        <w:rPr>
          <w:rFonts w:cs="Times New Roman"/>
        </w:rPr>
        <w:t>Smluvní strany dále prohlašují, že skutečnosti uvedené v</w:t>
      </w:r>
      <w:r w:rsidR="00AD1951" w:rsidRPr="003E1967">
        <w:rPr>
          <w:rFonts w:cs="Times New Roman"/>
        </w:rPr>
        <w:t xml:space="preserve"> </w:t>
      </w:r>
      <w:r w:rsidRPr="003E1967">
        <w:rPr>
          <w:rFonts w:cs="Times New Roman"/>
        </w:rPr>
        <w:t>této smlouvě</w:t>
      </w:r>
      <w:r w:rsidR="00AD1951" w:rsidRPr="003E1967">
        <w:rPr>
          <w:rFonts w:cs="Times New Roman"/>
        </w:rPr>
        <w:t xml:space="preserve"> </w:t>
      </w:r>
      <w:r w:rsidRPr="003E1967">
        <w:rPr>
          <w:rFonts w:cs="Times New Roman"/>
        </w:rPr>
        <w:t>nepovažují za obchodní tajemství ve smyslu</w:t>
      </w:r>
      <w:r w:rsidRPr="0060154C">
        <w:rPr>
          <w:rFonts w:cs="Times New Roman"/>
        </w:rPr>
        <w:t xml:space="preserve">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92768E" w:rsidRPr="00FC4A3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Smluvní strany výslovně souhla</w:t>
      </w:r>
      <w:r w:rsidR="00F46574" w:rsidRPr="00FC4A3E">
        <w:rPr>
          <w:rFonts w:cs="Times New Roman"/>
        </w:rPr>
        <w:t>sí, že v souladu s ustanovením</w:t>
      </w:r>
      <w:r w:rsidRPr="00FC4A3E">
        <w:rPr>
          <w:rFonts w:cs="Times New Roman"/>
        </w:rPr>
        <w:t xml:space="preserve"> </w:t>
      </w:r>
      <w:r w:rsidR="00F46574" w:rsidRPr="00FC4A3E">
        <w:rPr>
          <w:rFonts w:cs="Times New Roman"/>
        </w:rPr>
        <w:t>§ 219 odst. 1 zákona č. 134/2016 Sb., o </w:t>
      </w:r>
      <w:r w:rsidR="003F04B6" w:rsidRPr="00FC4A3E">
        <w:rPr>
          <w:rFonts w:cs="Times New Roman"/>
        </w:rPr>
        <w:t xml:space="preserve">zadávání </w:t>
      </w:r>
      <w:r w:rsidR="00F46574" w:rsidRPr="00FC4A3E">
        <w:rPr>
          <w:rFonts w:cs="Times New Roman"/>
        </w:rPr>
        <w:t>veřejných zakáz</w:t>
      </w:r>
      <w:r w:rsidR="003F04B6" w:rsidRPr="00FC4A3E">
        <w:rPr>
          <w:rFonts w:cs="Times New Roman"/>
        </w:rPr>
        <w:t>e</w:t>
      </w:r>
      <w:r w:rsidR="00F46574" w:rsidRPr="00FC4A3E">
        <w:rPr>
          <w:rFonts w:cs="Times New Roman"/>
        </w:rPr>
        <w:t>k</w:t>
      </w:r>
      <w:r w:rsidRPr="00FC4A3E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C4A3E">
        <w:rPr>
          <w:rFonts w:cs="Times New Roman"/>
        </w:rPr>
        <w:t>objedna</w:t>
      </w:r>
      <w:r w:rsidRPr="00FC4A3E">
        <w:rPr>
          <w:rFonts w:cs="Times New Roman"/>
        </w:rPr>
        <w:t>tele, který je veřejně přístupný.</w:t>
      </w:r>
    </w:p>
    <w:p w:rsidR="002C173E" w:rsidRPr="00FC4A3E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Objednatel uzavírá smlouvu v so</w:t>
      </w:r>
      <w:r w:rsidR="00C529C5" w:rsidRPr="00FC4A3E">
        <w:rPr>
          <w:rFonts w:cs="Times New Roman"/>
        </w:rPr>
        <w:t>uladu s ustanovením § 27 odst. 6</w:t>
      </w:r>
      <w:r w:rsidRPr="00FC4A3E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Tato smlouva představuje úplnou a ucelenou dohodu stran, která nahrazuje všechna předchozí ujednání, dohody či smlouvy, ať písemné či ústní, ohledně totožného předmětu plnění. </w:t>
      </w:r>
    </w:p>
    <w:p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:rsidR="003106CF" w:rsidRPr="0060154C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:rsidR="001D54B4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1D54B4" w:rsidP="00F85CAB">
      <w:pPr>
        <w:spacing w:after="120" w:line="276" w:lineRule="auto"/>
        <w:ind w:hanging="284"/>
        <w:rPr>
          <w:rFonts w:cs="Times New Roman"/>
        </w:rPr>
      </w:pPr>
    </w:p>
    <w:p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 xml:space="preserve">V Praze </w:t>
      </w:r>
      <w:proofErr w:type="gramStart"/>
      <w:r w:rsidRPr="0060154C">
        <w:rPr>
          <w:rFonts w:cs="Times New Roman"/>
        </w:rPr>
        <w:t xml:space="preserve">dne </w:t>
      </w:r>
      <w:r w:rsidR="004D7880">
        <w:rPr>
          <w:rFonts w:cs="Times New Roman"/>
        </w:rPr>
        <w:t xml:space="preserve"> </w:t>
      </w:r>
      <w:r w:rsidRPr="0060154C">
        <w:rPr>
          <w:rFonts w:cs="Times New Roman"/>
        </w:rPr>
        <w:tab/>
      </w:r>
      <w:proofErr w:type="gramEnd"/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4D7880">
        <w:rPr>
          <w:rFonts w:cs="Times New Roman"/>
        </w:rPr>
        <w:t xml:space="preserve">            </w:t>
      </w:r>
      <w:r w:rsidR="00DC25B2">
        <w:rPr>
          <w:rFonts w:cs="Times New Roman"/>
        </w:rPr>
        <w:t xml:space="preserve">V </w:t>
      </w:r>
      <w:r w:rsidR="004D7880">
        <w:rPr>
          <w:rFonts w:cs="Times New Roman"/>
        </w:rPr>
        <w:t>Praze</w:t>
      </w:r>
      <w:r w:rsidR="00DC25B2">
        <w:rPr>
          <w:rFonts w:cs="Times New Roman"/>
        </w:rPr>
        <w:t xml:space="preserve"> dne </w:t>
      </w:r>
    </w:p>
    <w:p w:rsidR="00994817" w:rsidRPr="0060154C" w:rsidRDefault="00994817" w:rsidP="0007550F">
      <w:pPr>
        <w:spacing w:after="120" w:line="276" w:lineRule="auto"/>
        <w:rPr>
          <w:rFonts w:cs="Times New Roman"/>
        </w:rPr>
      </w:pPr>
    </w:p>
    <w:p w:rsidR="001D54B4" w:rsidRPr="00BE2197" w:rsidRDefault="001D54B4" w:rsidP="0007550F">
      <w:pPr>
        <w:spacing w:after="120" w:line="276" w:lineRule="auto"/>
        <w:ind w:hanging="284"/>
        <w:rPr>
          <w:rFonts w:cs="Times New Roman"/>
        </w:rPr>
      </w:pPr>
    </w:p>
    <w:p w:rsidR="003E1967" w:rsidRPr="00EA7F0A" w:rsidRDefault="003E1967" w:rsidP="00344165">
      <w:pPr>
        <w:spacing w:after="120" w:line="276" w:lineRule="auto"/>
        <w:ind w:hanging="284"/>
        <w:rPr>
          <w:rFonts w:cs="Times New Roman"/>
          <w:b/>
        </w:rPr>
      </w:pPr>
      <w:r w:rsidRPr="00EA7F0A">
        <w:rPr>
          <w:rFonts w:cs="Times New Roman"/>
          <w:b/>
        </w:rPr>
        <w:t>Mgr. Adam Švejda                                                               Jan Sekerka</w:t>
      </w:r>
    </w:p>
    <w:p w:rsidR="003E1967" w:rsidRDefault="00EA7F0A" w:rsidP="003E1967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z</w:t>
      </w:r>
      <w:r w:rsidR="003E1967">
        <w:rPr>
          <w:rFonts w:cs="Times New Roman"/>
        </w:rPr>
        <w:t>ástupce ředitele pro ekonomickou a provozní činnost</w:t>
      </w:r>
      <w:r w:rsidR="00344165">
        <w:rPr>
          <w:rFonts w:cs="Times New Roman"/>
        </w:rPr>
        <w:tab/>
      </w:r>
      <w:r w:rsidR="003E1967">
        <w:rPr>
          <w:rFonts w:cs="Times New Roman"/>
        </w:rPr>
        <w:t>místopředseda představenstva</w:t>
      </w:r>
      <w:r w:rsidR="00344165">
        <w:rPr>
          <w:rFonts w:cs="Times New Roman"/>
        </w:rPr>
        <w:tab/>
      </w:r>
    </w:p>
    <w:p w:rsidR="003E1967" w:rsidRDefault="00344165" w:rsidP="003E1967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Institut plánování a rozvoje hlavního města Prahy,</w:t>
      </w:r>
      <w:r>
        <w:rPr>
          <w:rFonts w:cs="Times New Roman"/>
        </w:rPr>
        <w:tab/>
      </w:r>
      <w:r w:rsidR="003E1967">
        <w:rPr>
          <w:rFonts w:cs="Times New Roman"/>
        </w:rPr>
        <w:t xml:space="preserve">             </w:t>
      </w:r>
      <w:r w:rsidR="003E1967" w:rsidRPr="003E1967">
        <w:rPr>
          <w:rFonts w:cs="Times New Roman"/>
          <w:bCs/>
        </w:rPr>
        <w:t>Tomos Praha a.s.</w:t>
      </w:r>
    </w:p>
    <w:p w:rsidR="00344165" w:rsidRPr="0060154C" w:rsidRDefault="00344165" w:rsidP="003E1967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příspěvkové organizace</w:t>
      </w:r>
    </w:p>
    <w:p w:rsidR="006C1EDF" w:rsidRPr="0060154C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60154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8BE" w:rsidRDefault="004268BE">
      <w:r>
        <w:separator/>
      </w:r>
    </w:p>
  </w:endnote>
  <w:endnote w:type="continuationSeparator" w:id="0">
    <w:p w:rsidR="004268BE" w:rsidRDefault="0042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843EB0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843EB0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8BE" w:rsidRDefault="004268BE">
      <w:r>
        <w:separator/>
      </w:r>
    </w:p>
  </w:footnote>
  <w:footnote w:type="continuationSeparator" w:id="0">
    <w:p w:rsidR="004268BE" w:rsidRDefault="0042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8" w:rsidRPr="00F02C99" w:rsidRDefault="00A94B18">
    <w:pPr>
      <w:pStyle w:val="Standardnte"/>
      <w:tabs>
        <w:tab w:val="left" w:pos="828"/>
      </w:tabs>
      <w:rPr>
        <w:color w:val="auto"/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 w:rsidRPr="00F02C99">
      <w:rPr>
        <w:color w:val="auto"/>
        <w:sz w:val="22"/>
      </w:rPr>
      <w:t>č. smlouvy objednatele: ZAK</w:t>
    </w:r>
    <w:r w:rsidR="00F02C99" w:rsidRPr="00F02C99">
      <w:rPr>
        <w:color w:val="auto"/>
        <w:sz w:val="22"/>
      </w:rPr>
      <w:t xml:space="preserve"> 21-0157</w:t>
    </w:r>
    <w:r w:rsidRPr="00F02C99">
      <w:rPr>
        <w:color w:val="auto"/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5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31"/>
  </w:num>
  <w:num w:numId="5">
    <w:abstractNumId w:val="25"/>
  </w:num>
  <w:num w:numId="6">
    <w:abstractNumId w:val="34"/>
  </w:num>
  <w:num w:numId="7">
    <w:abstractNumId w:val="26"/>
  </w:num>
  <w:num w:numId="8">
    <w:abstractNumId w:val="21"/>
  </w:num>
  <w:num w:numId="9">
    <w:abstractNumId w:val="32"/>
  </w:num>
  <w:num w:numId="10">
    <w:abstractNumId w:val="29"/>
  </w:num>
  <w:num w:numId="11">
    <w:abstractNumId w:val="20"/>
  </w:num>
  <w:num w:numId="12">
    <w:abstractNumId w:val="24"/>
  </w:num>
  <w:num w:numId="13">
    <w:abstractNumId w:val="28"/>
  </w:num>
  <w:num w:numId="14">
    <w:abstractNumId w:val="23"/>
  </w:num>
  <w:num w:numId="15">
    <w:abstractNumId w:val="22"/>
  </w:num>
  <w:num w:numId="16">
    <w:abstractNumId w:val="33"/>
  </w:num>
  <w:num w:numId="17">
    <w:abstractNumId w:val="35"/>
  </w:num>
  <w:num w:numId="1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3A25"/>
    <w:rsid w:val="00175908"/>
    <w:rsid w:val="00180CDB"/>
    <w:rsid w:val="0019045E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B5D"/>
    <w:rsid w:val="002D4DF5"/>
    <w:rsid w:val="002D6746"/>
    <w:rsid w:val="002D78CA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505C"/>
    <w:rsid w:val="00330250"/>
    <w:rsid w:val="00331390"/>
    <w:rsid w:val="003375C0"/>
    <w:rsid w:val="00341B38"/>
    <w:rsid w:val="00344165"/>
    <w:rsid w:val="00347907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B6695"/>
    <w:rsid w:val="003B6E46"/>
    <w:rsid w:val="003B7B4B"/>
    <w:rsid w:val="003C7266"/>
    <w:rsid w:val="003C7CA5"/>
    <w:rsid w:val="003D691C"/>
    <w:rsid w:val="003D72CD"/>
    <w:rsid w:val="003E1967"/>
    <w:rsid w:val="003E254E"/>
    <w:rsid w:val="003E77D5"/>
    <w:rsid w:val="003F04B6"/>
    <w:rsid w:val="003F4B29"/>
    <w:rsid w:val="003F6D6A"/>
    <w:rsid w:val="0040275C"/>
    <w:rsid w:val="004032B5"/>
    <w:rsid w:val="00403E19"/>
    <w:rsid w:val="00407A7B"/>
    <w:rsid w:val="00410A88"/>
    <w:rsid w:val="00411029"/>
    <w:rsid w:val="0041139D"/>
    <w:rsid w:val="00411EC4"/>
    <w:rsid w:val="0042388A"/>
    <w:rsid w:val="004268BE"/>
    <w:rsid w:val="00446812"/>
    <w:rsid w:val="00454AC2"/>
    <w:rsid w:val="00462879"/>
    <w:rsid w:val="004734DE"/>
    <w:rsid w:val="0047719B"/>
    <w:rsid w:val="0047777E"/>
    <w:rsid w:val="00480239"/>
    <w:rsid w:val="00483B1F"/>
    <w:rsid w:val="00487672"/>
    <w:rsid w:val="004A19B4"/>
    <w:rsid w:val="004A1A10"/>
    <w:rsid w:val="004A2C9A"/>
    <w:rsid w:val="004A5D1C"/>
    <w:rsid w:val="004B583F"/>
    <w:rsid w:val="004C433F"/>
    <w:rsid w:val="004C699F"/>
    <w:rsid w:val="004D120F"/>
    <w:rsid w:val="004D7880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136C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754A"/>
    <w:rsid w:val="005E4042"/>
    <w:rsid w:val="005E4843"/>
    <w:rsid w:val="005F7C86"/>
    <w:rsid w:val="0060154C"/>
    <w:rsid w:val="00602DE2"/>
    <w:rsid w:val="00607762"/>
    <w:rsid w:val="00610AFE"/>
    <w:rsid w:val="00614DE4"/>
    <w:rsid w:val="0061560E"/>
    <w:rsid w:val="00622806"/>
    <w:rsid w:val="00631198"/>
    <w:rsid w:val="00631C30"/>
    <w:rsid w:val="006361ED"/>
    <w:rsid w:val="006411F0"/>
    <w:rsid w:val="00646F16"/>
    <w:rsid w:val="00647B57"/>
    <w:rsid w:val="00651395"/>
    <w:rsid w:val="0067120C"/>
    <w:rsid w:val="00677C35"/>
    <w:rsid w:val="00684D8C"/>
    <w:rsid w:val="00696116"/>
    <w:rsid w:val="0069698D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6722A"/>
    <w:rsid w:val="0087204D"/>
    <w:rsid w:val="00877083"/>
    <w:rsid w:val="00877D5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1367"/>
    <w:rsid w:val="0093217E"/>
    <w:rsid w:val="00940E95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804C5"/>
    <w:rsid w:val="00A94B18"/>
    <w:rsid w:val="00A9606F"/>
    <w:rsid w:val="00AA1127"/>
    <w:rsid w:val="00AA23CA"/>
    <w:rsid w:val="00AB2247"/>
    <w:rsid w:val="00AB24EA"/>
    <w:rsid w:val="00AB60B1"/>
    <w:rsid w:val="00AC35D0"/>
    <w:rsid w:val="00AC6CE3"/>
    <w:rsid w:val="00AD1951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533A3"/>
    <w:rsid w:val="00B541D8"/>
    <w:rsid w:val="00B56306"/>
    <w:rsid w:val="00B64875"/>
    <w:rsid w:val="00B8583E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3E51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EAF"/>
    <w:rsid w:val="00CC40B9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5405C"/>
    <w:rsid w:val="00D55625"/>
    <w:rsid w:val="00D6215F"/>
    <w:rsid w:val="00D624E8"/>
    <w:rsid w:val="00D74335"/>
    <w:rsid w:val="00D81FE6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7974"/>
    <w:rsid w:val="00E01FE1"/>
    <w:rsid w:val="00E062FC"/>
    <w:rsid w:val="00E120CC"/>
    <w:rsid w:val="00E141C3"/>
    <w:rsid w:val="00E16D0E"/>
    <w:rsid w:val="00E16F7D"/>
    <w:rsid w:val="00E35D2B"/>
    <w:rsid w:val="00E434AB"/>
    <w:rsid w:val="00E46A2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A7F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5181"/>
    <w:rsid w:val="00EF70E1"/>
    <w:rsid w:val="00F0129B"/>
    <w:rsid w:val="00F014F2"/>
    <w:rsid w:val="00F02C99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1DB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DA8336-3360-441E-BFD9-95F51C8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">
    <w:name w:val="No Spacing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4CA8-9FEF-4445-A3BD-44377B99FAD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812395-24BD-46DE-A94C-5CC7EE8D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4778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32906</CharactersWithSpaces>
  <SharedDoc>false</SharedDoc>
  <HLinks>
    <vt:vector size="18" baseType="variant"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Záhorská Zuzana (SPR)</cp:lastModifiedBy>
  <cp:revision>2</cp:revision>
  <cp:lastPrinted>2016-09-01T12:57:00Z</cp:lastPrinted>
  <dcterms:created xsi:type="dcterms:W3CDTF">2021-08-17T07:29:00Z</dcterms:created>
  <dcterms:modified xsi:type="dcterms:W3CDTF">2021-08-17T07:29:00Z</dcterms:modified>
</cp:coreProperties>
</file>