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D9" w:rsidRDefault="00716F32">
      <w:pPr>
        <w:pStyle w:val="Nadpis1"/>
        <w:spacing w:before="73"/>
        <w:ind w:left="3143" w:right="3148"/>
      </w:pPr>
      <w:r>
        <w:rPr>
          <w:color w:val="808080"/>
        </w:rPr>
        <w:t>Smlouva č. 1191300034 o poskytnutí podpory</w:t>
      </w:r>
    </w:p>
    <w:p w:rsidR="00E271D9" w:rsidRDefault="00716F32">
      <w:pPr>
        <w:spacing w:before="1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E271D9" w:rsidRDefault="00E271D9">
      <w:pPr>
        <w:pStyle w:val="Zkladntext"/>
        <w:rPr>
          <w:sz w:val="60"/>
        </w:rPr>
      </w:pPr>
    </w:p>
    <w:p w:rsidR="00E271D9" w:rsidRDefault="00716F32">
      <w:pPr>
        <w:pStyle w:val="Zkladntext"/>
        <w:ind w:left="102"/>
      </w:pPr>
      <w:r>
        <w:t>Smluvní strany</w:t>
      </w:r>
    </w:p>
    <w:p w:rsidR="00E271D9" w:rsidRDefault="00E271D9">
      <w:pPr>
        <w:pStyle w:val="Zkladntext"/>
        <w:spacing w:before="1"/>
      </w:pPr>
    </w:p>
    <w:p w:rsidR="00E271D9" w:rsidRDefault="00716F32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E271D9" w:rsidRDefault="00716F3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E271D9" w:rsidRDefault="00716F3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E271D9" w:rsidRDefault="00716F3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271D9" w:rsidRDefault="00716F3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</w:p>
    <w:p w:rsidR="00E271D9" w:rsidRDefault="00716F3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E271D9" w:rsidRDefault="00716F32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E271D9" w:rsidRDefault="00E271D9">
      <w:pPr>
        <w:pStyle w:val="Zkladntext"/>
        <w:spacing w:before="1"/>
      </w:pPr>
    </w:p>
    <w:p w:rsidR="00E271D9" w:rsidRDefault="00716F32">
      <w:pPr>
        <w:pStyle w:val="Zkladntext"/>
        <w:spacing w:before="1"/>
        <w:ind w:left="102"/>
      </w:pPr>
      <w:r>
        <w:rPr>
          <w:w w:val="99"/>
        </w:rPr>
        <w:t>a</w:t>
      </w:r>
    </w:p>
    <w:p w:rsidR="00E271D9" w:rsidRDefault="00E271D9">
      <w:pPr>
        <w:pStyle w:val="Zkladntext"/>
      </w:pPr>
    </w:p>
    <w:p w:rsidR="00E271D9" w:rsidRDefault="00716F32">
      <w:pPr>
        <w:pStyle w:val="Nadpis2"/>
        <w:ind w:right="0"/>
        <w:jc w:val="left"/>
      </w:pPr>
      <w:r>
        <w:t>KOVOSTEEL Recycling, s.r.o.</w:t>
      </w:r>
    </w:p>
    <w:p w:rsidR="00E271D9" w:rsidRDefault="00716F32">
      <w:pPr>
        <w:pStyle w:val="Zkladntext"/>
        <w:spacing w:before="3" w:line="237" w:lineRule="auto"/>
        <w:ind w:left="102" w:right="147"/>
      </w:pPr>
      <w:r>
        <w:t>obchodní společnost zapsaná v obchodním  rejstříku  vedeném  Krajským  soudem  v Brně,  oddíl  C, vložka</w:t>
      </w:r>
      <w:r>
        <w:rPr>
          <w:spacing w:val="-1"/>
        </w:rPr>
        <w:t xml:space="preserve"> </w:t>
      </w:r>
      <w:r>
        <w:t>71512</w:t>
      </w:r>
    </w:p>
    <w:p w:rsidR="00E271D9" w:rsidRDefault="00716F3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Brněnská 1372, 686 03 Staré</w:t>
      </w:r>
      <w:r>
        <w:rPr>
          <w:spacing w:val="-2"/>
        </w:rPr>
        <w:t xml:space="preserve"> </w:t>
      </w:r>
      <w:r>
        <w:t>Město</w:t>
      </w:r>
    </w:p>
    <w:p w:rsidR="00E271D9" w:rsidRDefault="00716F32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29290589</w:t>
      </w:r>
    </w:p>
    <w:p w:rsidR="00E271D9" w:rsidRDefault="00716F32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Bronislavem</w:t>
      </w:r>
      <w:r>
        <w:rPr>
          <w:spacing w:val="-2"/>
        </w:rPr>
        <w:t xml:space="preserve"> </w:t>
      </w:r>
      <w:r>
        <w:t>J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č</w:t>
      </w:r>
      <w:r>
        <w:rPr>
          <w:spacing w:val="-14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m, jednatelem</w:t>
      </w:r>
    </w:p>
    <w:p w:rsidR="00E271D9" w:rsidRPr="008240AD" w:rsidRDefault="00716F32">
      <w:pPr>
        <w:pStyle w:val="Zkladntext"/>
        <w:tabs>
          <w:tab w:val="left" w:pos="2982"/>
        </w:tabs>
        <w:spacing w:before="1"/>
        <w:ind w:left="102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240AD" w:rsidRPr="008240AD">
        <w:rPr>
          <w:highlight w:val="yellow"/>
        </w:rPr>
        <w:t>xxxx</w:t>
      </w:r>
    </w:p>
    <w:p w:rsidR="008240AD" w:rsidRDefault="00716F32">
      <w:pPr>
        <w:pStyle w:val="Zkladntext"/>
        <w:tabs>
          <w:tab w:val="left" w:pos="2982"/>
        </w:tabs>
        <w:ind w:left="102" w:right="5370"/>
      </w:pPr>
      <w:bookmarkStart w:id="0" w:name="_GoBack"/>
      <w:bookmarkEnd w:id="0"/>
      <w:r w:rsidRPr="008240AD">
        <w:t>číslo</w:t>
      </w:r>
      <w:r w:rsidRPr="008240AD">
        <w:rPr>
          <w:spacing w:val="-2"/>
        </w:rPr>
        <w:t xml:space="preserve"> </w:t>
      </w:r>
      <w:r w:rsidRPr="008240AD">
        <w:t>účtu:</w:t>
      </w:r>
      <w:r w:rsidRPr="008240AD">
        <w:tab/>
      </w:r>
      <w:r w:rsidR="008240AD" w:rsidRPr="008240AD">
        <w:rPr>
          <w:highlight w:val="yellow"/>
        </w:rPr>
        <w:t>xxxx</w:t>
      </w:r>
    </w:p>
    <w:p w:rsidR="00E271D9" w:rsidRDefault="00716F32">
      <w:pPr>
        <w:pStyle w:val="Zkladntext"/>
        <w:tabs>
          <w:tab w:val="left" w:pos="2982"/>
        </w:tabs>
        <w:ind w:left="102" w:right="5370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E271D9" w:rsidRDefault="00E271D9">
      <w:pPr>
        <w:pStyle w:val="Zkladntext"/>
        <w:spacing w:before="12"/>
        <w:rPr>
          <w:sz w:val="19"/>
        </w:rPr>
      </w:pPr>
    </w:p>
    <w:p w:rsidR="00E271D9" w:rsidRDefault="00716F32">
      <w:pPr>
        <w:pStyle w:val="Zkladntext"/>
        <w:ind w:left="102"/>
      </w:pPr>
      <w:r>
        <w:t>se dohodly takto:</w:t>
      </w:r>
    </w:p>
    <w:p w:rsidR="00E271D9" w:rsidRDefault="00E271D9">
      <w:pPr>
        <w:pStyle w:val="Zkladntext"/>
        <w:spacing w:before="2"/>
        <w:rPr>
          <w:sz w:val="36"/>
        </w:rPr>
      </w:pPr>
    </w:p>
    <w:p w:rsidR="00E271D9" w:rsidRDefault="00716F32">
      <w:pPr>
        <w:pStyle w:val="Nadpis2"/>
        <w:ind w:left="3139"/>
      </w:pPr>
      <w:r>
        <w:t>I.</w:t>
      </w:r>
    </w:p>
    <w:p w:rsidR="00E271D9" w:rsidRDefault="00716F32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E271D9" w:rsidRDefault="00E271D9">
      <w:pPr>
        <w:pStyle w:val="Zkladntext"/>
        <w:spacing w:before="1"/>
        <w:rPr>
          <w:b/>
          <w:sz w:val="18"/>
        </w:rPr>
      </w:pPr>
    </w:p>
    <w:p w:rsidR="00E271D9" w:rsidRDefault="00716F3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271D9" w:rsidRDefault="00716F32">
      <w:pPr>
        <w:pStyle w:val="Zkladntext"/>
        <w:spacing w:before="1"/>
        <w:ind w:left="385" w:right="110"/>
        <w:jc w:val="both"/>
      </w:pPr>
      <w:r>
        <w:t>„Smlouva“) se uzavírá na základě Rozhodnutí ministra životního prostředí č. 1191300034 o poskytnutí finančních prostředků ze Státního fondu životního prostředí ČR ze dne 24. 5. 2021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E271D9" w:rsidRDefault="00716F32">
      <w:pPr>
        <w:pStyle w:val="Zkladntext"/>
        <w:spacing w:line="265" w:lineRule="exact"/>
        <w:ind w:left="385"/>
        <w:jc w:val="both"/>
      </w:pPr>
      <w:r>
        <w:t>„Směrnice MŽP“), platné ke dni podání žádosti.</w:t>
      </w:r>
    </w:p>
    <w:p w:rsidR="00E271D9" w:rsidRDefault="00716F3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E271D9" w:rsidRDefault="00E271D9">
      <w:pPr>
        <w:jc w:val="both"/>
        <w:rPr>
          <w:sz w:val="20"/>
        </w:rPr>
        <w:sectPr w:rsidR="00E271D9">
          <w:footerReference w:type="default" r:id="rId7"/>
          <w:type w:val="continuous"/>
          <w:pgSz w:w="12240" w:h="15840"/>
          <w:pgMar w:top="1060" w:right="1020" w:bottom="1660" w:left="1600" w:header="708" w:footer="1460" w:gutter="0"/>
          <w:pgNumType w:start="1"/>
          <w:cols w:space="708"/>
        </w:sectPr>
      </w:pPr>
    </w:p>
    <w:p w:rsidR="00E271D9" w:rsidRDefault="00716F32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E271D9" w:rsidRDefault="00716F32">
      <w:pPr>
        <w:pStyle w:val="Nadpis2"/>
        <w:spacing w:before="120"/>
        <w:ind w:left="3745" w:right="0"/>
        <w:jc w:val="left"/>
      </w:pPr>
      <w:r>
        <w:t>„Autovraky KSR 2021“</w:t>
      </w:r>
    </w:p>
    <w:p w:rsidR="00E271D9" w:rsidRDefault="00716F32">
      <w:pPr>
        <w:pStyle w:val="Zkladntext"/>
        <w:spacing w:before="121"/>
        <w:ind w:left="385"/>
      </w:pPr>
      <w:r>
        <w:t>(dále jen „projekt“ nebo „akce“) realizovanou v roce 2020. Akce je neinvestiční.</w:t>
      </w:r>
    </w:p>
    <w:p w:rsidR="00E271D9" w:rsidRDefault="00716F32">
      <w:pPr>
        <w:pStyle w:val="Odstavecseseznamem"/>
        <w:numPr>
          <w:ilvl w:val="0"/>
          <w:numId w:val="6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4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3"/>
          <w:sz w:val="20"/>
        </w:rPr>
        <w:t xml:space="preserve"> </w:t>
      </w:r>
      <w:r>
        <w:rPr>
          <w:sz w:val="20"/>
        </w:rPr>
        <w:t>Komise</w:t>
      </w:r>
      <w:r>
        <w:rPr>
          <w:spacing w:val="12"/>
          <w:sz w:val="20"/>
        </w:rPr>
        <w:t xml:space="preserve"> </w:t>
      </w:r>
      <w:r>
        <w:rPr>
          <w:sz w:val="20"/>
        </w:rPr>
        <w:t>(ES)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dne</w:t>
      </w:r>
    </w:p>
    <w:p w:rsidR="00E271D9" w:rsidRDefault="00716F32">
      <w:pPr>
        <w:pStyle w:val="Zkladntext"/>
        <w:spacing w:before="1"/>
        <w:ind w:left="385"/>
      </w:pPr>
      <w:r>
        <w:t>18.</w:t>
      </w:r>
      <w:r>
        <w:rPr>
          <w:spacing w:val="-3"/>
        </w:rPr>
        <w:t xml:space="preserve"> </w:t>
      </w:r>
      <w:r>
        <w:t>prosince</w:t>
      </w:r>
      <w:r>
        <w:rPr>
          <w:spacing w:val="-13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použití</w:t>
      </w:r>
      <w:r>
        <w:rPr>
          <w:spacing w:val="-12"/>
        </w:rPr>
        <w:t xml:space="preserve"> </w:t>
      </w:r>
      <w:r>
        <w:t>článků</w:t>
      </w:r>
      <w:r>
        <w:rPr>
          <w:spacing w:val="-12"/>
        </w:rPr>
        <w:t xml:space="preserve"> </w:t>
      </w:r>
      <w:r>
        <w:t>107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108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fungování</w:t>
      </w:r>
      <w:r>
        <w:rPr>
          <w:spacing w:val="-12"/>
        </w:rPr>
        <w:t xml:space="preserve"> </w:t>
      </w:r>
      <w:r>
        <w:t>Evropské</w:t>
      </w:r>
      <w:r>
        <w:rPr>
          <w:spacing w:val="-13"/>
        </w:rPr>
        <w:t xml:space="preserve"> </w:t>
      </w:r>
      <w:r>
        <w:t>unie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minimis, zveřejněném v Úředním věstníku EU dne 24. 12.</w:t>
      </w:r>
      <w:r>
        <w:rPr>
          <w:spacing w:val="-10"/>
        </w:rPr>
        <w:t xml:space="preserve"> </w:t>
      </w:r>
      <w:r>
        <w:t>2013.</w:t>
      </w: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spacing w:before="13"/>
        <w:rPr>
          <w:sz w:val="29"/>
        </w:rPr>
      </w:pPr>
    </w:p>
    <w:p w:rsidR="00E271D9" w:rsidRDefault="00716F32">
      <w:pPr>
        <w:pStyle w:val="Nadpis2"/>
        <w:ind w:left="3139"/>
      </w:pPr>
      <w:r>
        <w:t>II.</w:t>
      </w:r>
    </w:p>
    <w:p w:rsidR="00E271D9" w:rsidRDefault="00716F32">
      <w:pPr>
        <w:ind w:left="3136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E271D9" w:rsidRDefault="00E271D9">
      <w:pPr>
        <w:pStyle w:val="Zkladntext"/>
        <w:spacing w:before="1"/>
        <w:rPr>
          <w:b/>
          <w:sz w:val="18"/>
        </w:rPr>
      </w:pPr>
    </w:p>
    <w:p w:rsidR="00E271D9" w:rsidRDefault="00716F3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 xml:space="preserve">425 950,00  Kč  </w:t>
      </w:r>
      <w:r>
        <w:rPr>
          <w:sz w:val="20"/>
        </w:rPr>
        <w:t>(slovy: čtyři sta dvacet pět tisíc devět set padesát korun českých) za řádně předané odpady (komodity)  z vybraných autovraků převzatých za kalendářní rok 2020 d</w:t>
      </w:r>
      <w:r>
        <w:rPr>
          <w:sz w:val="20"/>
        </w:rPr>
        <w:t>o zpracovatelských zařízení určených ke zpracování odpadů z autovraků s materiálovým nebo 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využitím.</w:t>
      </w:r>
    </w:p>
    <w:p w:rsidR="00E271D9" w:rsidRDefault="00716F32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25"/>
          <w:sz w:val="20"/>
        </w:rPr>
        <w:t xml:space="preserve"> </w:t>
      </w:r>
      <w:r>
        <w:rPr>
          <w:sz w:val="20"/>
        </w:rPr>
        <w:t>Výzvy.</w:t>
      </w: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spacing w:before="2"/>
        <w:rPr>
          <w:sz w:val="30"/>
        </w:rPr>
      </w:pPr>
    </w:p>
    <w:p w:rsidR="00E271D9" w:rsidRDefault="00716F32">
      <w:pPr>
        <w:pStyle w:val="Nadpis2"/>
        <w:ind w:left="3138"/>
      </w:pPr>
      <w:r>
        <w:t>III.</w:t>
      </w:r>
    </w:p>
    <w:p w:rsidR="00E271D9" w:rsidRDefault="00716F32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271D9" w:rsidRDefault="00E271D9">
      <w:pPr>
        <w:pStyle w:val="Zkladntext"/>
        <w:spacing w:before="1"/>
        <w:rPr>
          <w:b/>
          <w:sz w:val="18"/>
        </w:rPr>
      </w:pPr>
    </w:p>
    <w:p w:rsidR="00E271D9" w:rsidRDefault="00716F3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71D9" w:rsidRDefault="00716F3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</w:t>
      </w:r>
      <w:r>
        <w:rPr>
          <w:sz w:val="20"/>
        </w:rPr>
        <w:t>vených touto Smlouvou, či je plnění některé povinnosti vážně ohroženo. Ustanovení článku V bodu 1 tím 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:rsidR="00E271D9" w:rsidRDefault="00E271D9">
      <w:pPr>
        <w:pStyle w:val="Zkladntext"/>
        <w:spacing w:before="9"/>
        <w:rPr>
          <w:sz w:val="28"/>
        </w:rPr>
      </w:pPr>
    </w:p>
    <w:p w:rsidR="00E271D9" w:rsidRDefault="00E271D9">
      <w:pPr>
        <w:rPr>
          <w:sz w:val="28"/>
        </w:rPr>
        <w:sectPr w:rsidR="00E271D9">
          <w:pgSz w:w="12240" w:h="15840"/>
          <w:pgMar w:top="1060" w:right="1020" w:bottom="1660" w:left="1600" w:header="0" w:footer="1460" w:gutter="0"/>
          <w:cols w:space="708"/>
        </w:sectPr>
      </w:pP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rPr>
          <w:sz w:val="26"/>
        </w:rPr>
      </w:pPr>
    </w:p>
    <w:p w:rsidR="00E271D9" w:rsidRDefault="00716F32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271D9" w:rsidRDefault="00716F32">
      <w:pPr>
        <w:spacing w:before="100"/>
        <w:ind w:left="8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271D9" w:rsidRDefault="00716F32">
      <w:pPr>
        <w:pStyle w:val="Nadpis2"/>
        <w:ind w:left="80" w:right="2282"/>
      </w:pPr>
      <w:r>
        <w:t>Základní závazky a další povinnosti příjemce podpory</w:t>
      </w:r>
    </w:p>
    <w:p w:rsidR="00E271D9" w:rsidRDefault="00E271D9">
      <w:pPr>
        <w:sectPr w:rsidR="00E271D9">
          <w:type w:val="continuous"/>
          <w:pgSz w:w="12240" w:h="15840"/>
          <w:pgMar w:top="1060" w:right="1020" w:bottom="166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E271D9" w:rsidRDefault="00716F32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1/2020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12/2020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4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 všech vybraných vozidel převzatých za kalendářní rok a opětovného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E271D9" w:rsidRDefault="00716F32">
      <w:pPr>
        <w:pStyle w:val="Zkladntext"/>
        <w:spacing w:before="120"/>
        <w:ind w:left="783" w:right="108"/>
        <w:jc w:val="both"/>
      </w:pPr>
      <w:r>
        <w:t>Příjemce podpory bere přitom na vědomí, že pokud toto prohlášení nen</w:t>
      </w:r>
      <w:r>
        <w:t>í pravdivé, bude přijetí podpory podle této Smlouvy považováno za neoprávněné použití finančních prostředků poskytnutých  ze státního  fondu  ve smyslu zákona č.  218/2000  Sb.,  o rozpočtových  pravidlech  a o změně některých souvisejících zákonů (rozpočt</w:t>
      </w:r>
      <w:r>
        <w:t>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E271D9" w:rsidRDefault="00E271D9">
      <w:pPr>
        <w:jc w:val="both"/>
        <w:sectPr w:rsidR="00E271D9">
          <w:type w:val="continuous"/>
          <w:pgSz w:w="12240" w:h="15840"/>
          <w:pgMar w:top="1060" w:right="1020" w:bottom="1660" w:left="1600" w:header="708" w:footer="708" w:gutter="0"/>
          <w:cols w:space="708"/>
        </w:sectPr>
      </w:pP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 se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E271D9" w:rsidRDefault="00716F32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E271D9" w:rsidRDefault="00716F32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3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 o způsobu hodnocení rizik ekologické újmy a bližších podmínkách finančního zajištění, v platn</w:t>
      </w:r>
      <w:r>
        <w:rPr>
          <w:sz w:val="20"/>
        </w:rPr>
        <w:t>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znění,</w:t>
      </w:r>
    </w:p>
    <w:p w:rsidR="00E271D9" w:rsidRDefault="00716F32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21"/>
          <w:sz w:val="20"/>
        </w:rPr>
        <w:t xml:space="preserve"> </w:t>
      </w:r>
      <w:r>
        <w:rPr>
          <w:sz w:val="20"/>
        </w:rPr>
        <w:t>orgánům,</w:t>
      </w:r>
    </w:p>
    <w:p w:rsidR="00E271D9" w:rsidRDefault="00716F32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 odlišných od Fondu, jakož i o uložených opatřeních k nápravě a jejich splnění,</w:t>
      </w:r>
    </w:p>
    <w:p w:rsidR="00E271D9" w:rsidRDefault="00716F3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</w:t>
      </w:r>
      <w:r>
        <w:rPr>
          <w:sz w:val="20"/>
        </w:rPr>
        <w:t xml:space="preserve"> průkaznou evidenci v souladu s právními předpisy,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</w:t>
      </w:r>
      <w:r>
        <w:rPr>
          <w:sz w:val="20"/>
        </w:rPr>
        <w:t>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E271D9" w:rsidRDefault="00716F32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</w:t>
      </w:r>
      <w:r>
        <w:rPr>
          <w:sz w:val="20"/>
        </w:rPr>
        <w:t xml:space="preserve">   Smlouvy,  byly  pravdivé,  nezkreslené   a úplné. Příjemce podpory přitom bere na vědomí, že pokud kterékoliv jeho prohlášení nebo tvrzení (popřípadě oboustranné konstatování vycházející z jím podané informace) uvedené v této Smlouvě není pravdivé, bude</w:t>
      </w:r>
      <w:r>
        <w:rPr>
          <w:sz w:val="20"/>
        </w:rPr>
        <w:t xml:space="preserve"> považováno za porušení jeho povinnosti stanovených touto</w:t>
      </w:r>
      <w:r>
        <w:rPr>
          <w:spacing w:val="-14"/>
          <w:sz w:val="20"/>
        </w:rPr>
        <w:t xml:space="preserve"> </w:t>
      </w:r>
      <w:r>
        <w:rPr>
          <w:sz w:val="20"/>
        </w:rPr>
        <w:t>Smlouvou.</w:t>
      </w: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spacing w:before="2"/>
        <w:rPr>
          <w:sz w:val="30"/>
        </w:rPr>
      </w:pPr>
    </w:p>
    <w:p w:rsidR="00E271D9" w:rsidRDefault="00716F32">
      <w:pPr>
        <w:pStyle w:val="Nadpis2"/>
        <w:ind w:left="3137"/>
      </w:pPr>
      <w:r>
        <w:t>V.</w:t>
      </w:r>
    </w:p>
    <w:p w:rsidR="00E271D9" w:rsidRDefault="00716F32">
      <w:pPr>
        <w:spacing w:before="1"/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E271D9" w:rsidRDefault="00E271D9">
      <w:pPr>
        <w:pStyle w:val="Zkladntext"/>
        <w:spacing w:before="11"/>
        <w:rPr>
          <w:b/>
          <w:sz w:val="17"/>
        </w:rPr>
      </w:pPr>
    </w:p>
    <w:p w:rsidR="00E271D9" w:rsidRDefault="00716F3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rozpočtový</w:t>
      </w:r>
      <w:r>
        <w:rPr>
          <w:sz w:val="20"/>
        </w:rPr>
        <w:t>ch</w:t>
      </w:r>
      <w:r>
        <w:rPr>
          <w:spacing w:val="-2"/>
          <w:sz w:val="20"/>
        </w:rPr>
        <w:t xml:space="preserve"> </w:t>
      </w:r>
      <w:r>
        <w:rPr>
          <w:sz w:val="20"/>
        </w:rPr>
        <w:t>pravidel.</w:t>
      </w:r>
    </w:p>
    <w:p w:rsidR="00E271D9" w:rsidRDefault="00716F32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E271D9" w:rsidRDefault="00716F32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 ostatních povinností podle této Smlouvy bude postiženo sankcí ve výši 1 % z poskytnuté podpory.</w:t>
      </w:r>
    </w:p>
    <w:p w:rsidR="00E271D9" w:rsidRDefault="00E271D9">
      <w:pPr>
        <w:spacing w:line="237" w:lineRule="auto"/>
        <w:rPr>
          <w:sz w:val="20"/>
        </w:rPr>
        <w:sectPr w:rsidR="00E271D9">
          <w:pgSz w:w="12240" w:h="15840"/>
          <w:pgMar w:top="1060" w:right="1020" w:bottom="1660" w:left="1600" w:header="0" w:footer="1460" w:gutter="0"/>
          <w:cols w:space="708"/>
        </w:sectPr>
      </w:pPr>
    </w:p>
    <w:p w:rsidR="00E271D9" w:rsidRDefault="00716F32">
      <w:pPr>
        <w:pStyle w:val="Nadpis2"/>
        <w:spacing w:before="73"/>
        <w:ind w:left="3140"/>
      </w:pPr>
      <w:r>
        <w:lastRenderedPageBreak/>
        <w:t>VI.</w:t>
      </w:r>
    </w:p>
    <w:p w:rsidR="00E271D9" w:rsidRDefault="00716F32">
      <w:pPr>
        <w:ind w:left="3137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271D9" w:rsidRDefault="00E271D9">
      <w:pPr>
        <w:pStyle w:val="Zkladntext"/>
        <w:spacing w:before="1"/>
        <w:rPr>
          <w:b/>
          <w:sz w:val="18"/>
        </w:rPr>
      </w:pP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strany k této Smlouvě dodatek,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</w:t>
      </w:r>
      <w:r>
        <w:rPr>
          <w:sz w:val="20"/>
        </w:rPr>
        <w:t xml:space="preserve"> k jejich opoždění), než jak tato Smlouva původně předpokládala.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 xml:space="preserve">Pro účely této  Smlouvy se  informací (povinností informovat) rozumí podání informace v </w:t>
      </w:r>
      <w:r>
        <w:rPr>
          <w:sz w:val="20"/>
        </w:rPr>
        <w:t>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 xml:space="preserve">Příjemce podpory souhlasí se zveřejněním celého textu této Smlouvy v registru  smluv podle zákona    č. 340/2015  Sb.,  o  zvláštních  podmínkách </w:t>
      </w:r>
      <w:r>
        <w:rPr>
          <w:sz w:val="20"/>
        </w:rPr>
        <w:t xml:space="preserve">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E271D9" w:rsidRDefault="00716F32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</w:t>
      </w:r>
      <w:r>
        <w:rPr>
          <w:sz w:val="20"/>
        </w:rPr>
        <w:t>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rPr>
          <w:sz w:val="26"/>
        </w:rPr>
      </w:pPr>
    </w:p>
    <w:p w:rsidR="00E271D9" w:rsidRDefault="00716F32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E271D9" w:rsidRDefault="00E271D9">
      <w:pPr>
        <w:pStyle w:val="Zkladntext"/>
        <w:spacing w:before="1"/>
        <w:rPr>
          <w:sz w:val="18"/>
        </w:rPr>
      </w:pPr>
    </w:p>
    <w:p w:rsidR="00E271D9" w:rsidRDefault="00716F32">
      <w:pPr>
        <w:pStyle w:val="Zkladntext"/>
        <w:ind w:left="102"/>
      </w:pPr>
      <w:r>
        <w:t>dne:</w:t>
      </w: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rPr>
          <w:sz w:val="26"/>
        </w:rPr>
      </w:pPr>
    </w:p>
    <w:p w:rsidR="00E271D9" w:rsidRDefault="00E271D9">
      <w:pPr>
        <w:pStyle w:val="Zkladntext"/>
        <w:spacing w:before="1"/>
        <w:rPr>
          <w:sz w:val="29"/>
        </w:rPr>
      </w:pPr>
    </w:p>
    <w:p w:rsidR="00E271D9" w:rsidRDefault="00716F32">
      <w:pPr>
        <w:pStyle w:val="Zkladntext"/>
        <w:tabs>
          <w:tab w:val="left" w:pos="6582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E271D9" w:rsidRDefault="00716F32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E271D9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32" w:rsidRDefault="00716F32">
      <w:r>
        <w:separator/>
      </w:r>
    </w:p>
  </w:endnote>
  <w:endnote w:type="continuationSeparator" w:id="0">
    <w:p w:rsidR="00716F32" w:rsidRDefault="007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D9" w:rsidRDefault="00716F32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E271D9" w:rsidRDefault="00716F32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240AD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32" w:rsidRDefault="00716F32">
      <w:r>
        <w:separator/>
      </w:r>
    </w:p>
  </w:footnote>
  <w:footnote w:type="continuationSeparator" w:id="0">
    <w:p w:rsidR="00716F32" w:rsidRDefault="0071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940"/>
    <w:multiLevelType w:val="hybridMultilevel"/>
    <w:tmpl w:val="3FECA942"/>
    <w:lvl w:ilvl="0" w:tplc="D2F226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51CC72C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6DB64F5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519AE166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AAE252F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5274C6E2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8250B6C0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76C6EFCA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BBD0A86E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B961E52"/>
    <w:multiLevelType w:val="hybridMultilevel"/>
    <w:tmpl w:val="B372C7A6"/>
    <w:lvl w:ilvl="0" w:tplc="C5F4A4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5C42AF4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E666EFE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AA4487C0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4A1EE026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9FF27790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4328CDFC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E23478FA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75C0A65A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2A680530"/>
    <w:multiLevelType w:val="hybridMultilevel"/>
    <w:tmpl w:val="638454DC"/>
    <w:lvl w:ilvl="0" w:tplc="F684F0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68A6594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509CF470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06DECE7E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6B9802C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1B165D0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C07E550C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0C461800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36D012B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8583592"/>
    <w:multiLevelType w:val="hybridMultilevel"/>
    <w:tmpl w:val="CC824AAE"/>
    <w:lvl w:ilvl="0" w:tplc="785CCA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D2A6C92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BA76D262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91003D76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4A26052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DA84B702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7832979C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CA3E426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D53AC924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8494978"/>
    <w:multiLevelType w:val="hybridMultilevel"/>
    <w:tmpl w:val="802804B8"/>
    <w:lvl w:ilvl="0" w:tplc="42ECDE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B1C2B06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02C2145C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835271F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EA52FB40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59B27CF6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882458EC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AC5821F8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1A85E2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75416B2"/>
    <w:multiLevelType w:val="hybridMultilevel"/>
    <w:tmpl w:val="AD5404D4"/>
    <w:lvl w:ilvl="0" w:tplc="78E2FDC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A70E3E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D4B85398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5EF69A76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35B83044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10B2CA0C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B7FCC2BA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0B9A80E0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596294A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71D9"/>
    <w:rsid w:val="00716F32"/>
    <w:rsid w:val="008240AD"/>
    <w:rsid w:val="00E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56D68D"/>
  <w15:docId w15:val="{9303F3C7-11EC-416D-96EC-B46ED00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003" w:right="101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7588</Characters>
  <Application>Microsoft Office Word</Application>
  <DocSecurity>0</DocSecurity>
  <Lines>63</Lines>
  <Paragraphs>17</Paragraphs>
  <ScaleCrop>false</ScaleCrop>
  <Company>SFZP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2021-08-17T07:30:00Z</dcterms:created>
  <dcterms:modified xsi:type="dcterms:W3CDTF">2021-08-17T07:31:00Z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