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81219" w14:textId="77777777" w:rsidR="00C56250" w:rsidRPr="00083C70" w:rsidRDefault="00C56250" w:rsidP="00C56250">
      <w:pPr>
        <w:rPr>
          <w:rFonts w:asciiTheme="minorHAnsi" w:hAnsiTheme="minorHAnsi"/>
          <w:sz w:val="18"/>
          <w:szCs w:val="18"/>
        </w:rPr>
      </w:pPr>
      <w:r w:rsidRPr="00083C70">
        <w:rPr>
          <w:rStyle w:val="Siln"/>
          <w:rFonts w:asciiTheme="minorHAnsi" w:hAnsiTheme="minorHAnsi"/>
          <w:sz w:val="18"/>
          <w:szCs w:val="18"/>
        </w:rPr>
        <w:t>Národní památkový ústav,</w:t>
      </w:r>
      <w:r w:rsidRPr="00083C70">
        <w:rPr>
          <w:rFonts w:asciiTheme="minorHAnsi" w:hAnsiTheme="minorHAnsi"/>
          <w:sz w:val="18"/>
          <w:szCs w:val="18"/>
        </w:rPr>
        <w:t xml:space="preserve"> státní příspěvková organizace</w:t>
      </w:r>
    </w:p>
    <w:p w14:paraId="10BB00FB" w14:textId="77777777" w:rsidR="00C56250" w:rsidRPr="00083C70" w:rsidRDefault="00C56250" w:rsidP="00C56250">
      <w:pPr>
        <w:rPr>
          <w:rFonts w:asciiTheme="minorHAnsi" w:hAnsiTheme="minorHAnsi"/>
          <w:sz w:val="18"/>
          <w:szCs w:val="18"/>
        </w:rPr>
      </w:pPr>
      <w:r w:rsidRPr="00083C70">
        <w:rPr>
          <w:rFonts w:asciiTheme="minorHAnsi" w:hAnsiTheme="minorHAnsi"/>
          <w:sz w:val="18"/>
          <w:szCs w:val="18"/>
        </w:rPr>
        <w:t>IČO: 75032333, DIČ: CZ75032333,</w:t>
      </w:r>
    </w:p>
    <w:p w14:paraId="712163FD" w14:textId="77777777" w:rsidR="00C56250" w:rsidRPr="00083C70" w:rsidRDefault="00C56250" w:rsidP="00C56250">
      <w:pPr>
        <w:rPr>
          <w:rFonts w:asciiTheme="minorHAnsi" w:hAnsiTheme="minorHAnsi"/>
          <w:sz w:val="18"/>
          <w:szCs w:val="18"/>
        </w:rPr>
      </w:pPr>
      <w:r w:rsidRPr="00083C70">
        <w:rPr>
          <w:rFonts w:asciiTheme="minorHAnsi" w:hAnsiTheme="minorHAnsi"/>
          <w:sz w:val="18"/>
          <w:szCs w:val="18"/>
        </w:rPr>
        <w:t>se sídlem: Valdštejnské nám. 162/3, PSČ 118 01 Praha 1 – Malá Strana,</w:t>
      </w:r>
    </w:p>
    <w:p w14:paraId="2905D3B4" w14:textId="77777777" w:rsidR="00C56250" w:rsidRPr="00083C70" w:rsidRDefault="00C56250" w:rsidP="00C56250">
      <w:pPr>
        <w:rPr>
          <w:rFonts w:asciiTheme="minorHAnsi" w:hAnsiTheme="minorHAnsi"/>
          <w:sz w:val="18"/>
          <w:szCs w:val="18"/>
        </w:rPr>
      </w:pPr>
      <w:r w:rsidRPr="00083C70">
        <w:rPr>
          <w:rFonts w:asciiTheme="minorHAnsi" w:hAnsiTheme="minorHAnsi"/>
          <w:sz w:val="18"/>
          <w:szCs w:val="18"/>
        </w:rPr>
        <w:t xml:space="preserve">zastoupen: </w:t>
      </w:r>
      <w:r w:rsidR="00C50925" w:rsidRPr="00083C70">
        <w:rPr>
          <w:rFonts w:asciiTheme="minorHAnsi" w:hAnsiTheme="minorHAnsi"/>
          <w:sz w:val="18"/>
          <w:szCs w:val="18"/>
        </w:rPr>
        <w:t>Ing. arch. Naděždou Goryczkovou, generální ředitelkou</w:t>
      </w:r>
    </w:p>
    <w:p w14:paraId="5F975E5B" w14:textId="77777777" w:rsidR="009C4B2F" w:rsidRPr="00083C70" w:rsidRDefault="009C4B2F" w:rsidP="009C4B2F">
      <w:pPr>
        <w:jc w:val="both"/>
        <w:rPr>
          <w:rFonts w:asciiTheme="minorHAnsi" w:hAnsiTheme="minorHAnsi" w:cs="Arial"/>
          <w:sz w:val="18"/>
          <w:szCs w:val="18"/>
        </w:rPr>
      </w:pPr>
      <w:r w:rsidRPr="00083C70">
        <w:rPr>
          <w:rFonts w:asciiTheme="minorHAnsi" w:hAnsiTheme="minorHAnsi" w:cs="Arial"/>
          <w:sz w:val="18"/>
          <w:szCs w:val="18"/>
        </w:rPr>
        <w:t xml:space="preserve">bankovní spojení: Česká národní banka, č. ú.: 310009-60039011/0710 </w:t>
      </w:r>
    </w:p>
    <w:p w14:paraId="4D0BAB37" w14:textId="77777777" w:rsidR="00C56250" w:rsidRPr="00083C70" w:rsidRDefault="00C56250" w:rsidP="00C56250">
      <w:pPr>
        <w:rPr>
          <w:rFonts w:asciiTheme="minorHAnsi" w:hAnsiTheme="minorHAnsi" w:cs="Arial"/>
          <w:sz w:val="18"/>
          <w:szCs w:val="18"/>
        </w:rPr>
      </w:pPr>
      <w:r w:rsidRPr="00083C70">
        <w:rPr>
          <w:rFonts w:asciiTheme="minorHAnsi" w:hAnsiTheme="minorHAnsi" w:cs="Arial"/>
          <w:sz w:val="18"/>
          <w:szCs w:val="18"/>
        </w:rPr>
        <w:t>(dále jen „</w:t>
      </w:r>
      <w:r w:rsidR="00B64DBB" w:rsidRPr="00083C70">
        <w:rPr>
          <w:rFonts w:asciiTheme="minorHAnsi" w:hAnsiTheme="minorHAnsi" w:cs="Arial"/>
          <w:b/>
          <w:sz w:val="18"/>
          <w:szCs w:val="18"/>
        </w:rPr>
        <w:t>NPÚ</w:t>
      </w:r>
      <w:r w:rsidRPr="00083C70">
        <w:rPr>
          <w:rFonts w:asciiTheme="minorHAnsi" w:hAnsiTheme="minorHAnsi" w:cs="Arial"/>
          <w:sz w:val="18"/>
          <w:szCs w:val="18"/>
        </w:rPr>
        <w:t>“)</w:t>
      </w:r>
    </w:p>
    <w:p w14:paraId="53B434DF" w14:textId="77777777" w:rsidR="00C56250" w:rsidRPr="00083C70" w:rsidRDefault="00C56250" w:rsidP="00C56250">
      <w:pPr>
        <w:rPr>
          <w:rFonts w:asciiTheme="minorHAnsi" w:hAnsiTheme="minorHAnsi" w:cs="Arial"/>
          <w:sz w:val="18"/>
          <w:szCs w:val="18"/>
        </w:rPr>
      </w:pPr>
    </w:p>
    <w:p w14:paraId="435D2B53" w14:textId="77777777" w:rsidR="00C56250" w:rsidRPr="00083C70" w:rsidRDefault="00C56250" w:rsidP="00C56250">
      <w:pPr>
        <w:rPr>
          <w:rFonts w:asciiTheme="minorHAnsi" w:hAnsiTheme="minorHAnsi" w:cs="Arial"/>
          <w:sz w:val="18"/>
          <w:szCs w:val="18"/>
        </w:rPr>
      </w:pPr>
      <w:r w:rsidRPr="00083C70">
        <w:rPr>
          <w:rFonts w:asciiTheme="minorHAnsi" w:hAnsiTheme="minorHAnsi" w:cs="Arial"/>
          <w:sz w:val="18"/>
          <w:szCs w:val="18"/>
        </w:rPr>
        <w:t>a</w:t>
      </w:r>
    </w:p>
    <w:p w14:paraId="6853E099" w14:textId="77777777" w:rsidR="00C56250" w:rsidRPr="00083C70" w:rsidRDefault="00C56250" w:rsidP="00C56250">
      <w:pPr>
        <w:rPr>
          <w:rFonts w:asciiTheme="minorHAnsi" w:hAnsiTheme="minorHAnsi" w:cs="Arial"/>
          <w:sz w:val="18"/>
          <w:szCs w:val="18"/>
        </w:rPr>
      </w:pPr>
    </w:p>
    <w:p w14:paraId="74DC386D" w14:textId="77777777" w:rsidR="009C4B2F" w:rsidRPr="00083C70" w:rsidRDefault="009C4B2F" w:rsidP="009C4B2F">
      <w:pPr>
        <w:rPr>
          <w:rFonts w:asciiTheme="minorHAnsi" w:hAnsiTheme="minorHAnsi"/>
          <w:b/>
          <w:sz w:val="18"/>
          <w:szCs w:val="18"/>
        </w:rPr>
      </w:pPr>
      <w:r w:rsidRPr="00083C70">
        <w:rPr>
          <w:rStyle w:val="preformatted"/>
          <w:rFonts w:asciiTheme="minorHAnsi" w:hAnsiTheme="minorHAnsi"/>
          <w:b/>
          <w:sz w:val="18"/>
          <w:szCs w:val="18"/>
        </w:rPr>
        <w:t>GEMA ART International s.r.o.</w:t>
      </w:r>
      <w:r w:rsidRPr="00083C70">
        <w:rPr>
          <w:rFonts w:asciiTheme="minorHAnsi" w:hAnsiTheme="minorHAnsi"/>
          <w:b/>
          <w:sz w:val="18"/>
          <w:szCs w:val="18"/>
        </w:rPr>
        <w:t xml:space="preserve"> </w:t>
      </w:r>
    </w:p>
    <w:p w14:paraId="3F6DAE8D" w14:textId="77777777" w:rsidR="00C56250" w:rsidRPr="00083C70" w:rsidRDefault="00C56250" w:rsidP="00C56250">
      <w:pPr>
        <w:rPr>
          <w:rFonts w:asciiTheme="minorHAnsi" w:hAnsiTheme="minorHAnsi"/>
          <w:sz w:val="18"/>
          <w:szCs w:val="18"/>
        </w:rPr>
      </w:pPr>
      <w:r w:rsidRPr="00083C70">
        <w:rPr>
          <w:rFonts w:asciiTheme="minorHAnsi" w:hAnsiTheme="minorHAnsi"/>
          <w:sz w:val="18"/>
          <w:szCs w:val="18"/>
        </w:rPr>
        <w:t xml:space="preserve">zapsaný v obchodní rejstříku </w:t>
      </w:r>
      <w:r w:rsidR="009C4B2F" w:rsidRPr="00083C70">
        <w:rPr>
          <w:rFonts w:asciiTheme="minorHAnsi" w:hAnsiTheme="minorHAnsi"/>
          <w:sz w:val="18"/>
          <w:szCs w:val="18"/>
        </w:rPr>
        <w:t>vedená u Městského soudu v Praze zn. C 305517</w:t>
      </w:r>
    </w:p>
    <w:p w14:paraId="6DCE21EC" w14:textId="77777777" w:rsidR="00C56250" w:rsidRPr="00083C70" w:rsidRDefault="00C56250" w:rsidP="00C56250">
      <w:pPr>
        <w:rPr>
          <w:rFonts w:asciiTheme="minorHAnsi" w:hAnsiTheme="minorHAnsi" w:cs="Arial"/>
          <w:sz w:val="18"/>
          <w:szCs w:val="18"/>
        </w:rPr>
      </w:pPr>
      <w:r w:rsidRPr="00083C70">
        <w:rPr>
          <w:rFonts w:asciiTheme="minorHAnsi" w:hAnsiTheme="minorHAnsi" w:cs="Arial"/>
          <w:sz w:val="18"/>
          <w:szCs w:val="18"/>
        </w:rPr>
        <w:t xml:space="preserve">se sídlem: </w:t>
      </w:r>
      <w:r w:rsidR="009C4B2F" w:rsidRPr="00083C70">
        <w:rPr>
          <w:rFonts w:asciiTheme="minorHAnsi" w:hAnsiTheme="minorHAnsi"/>
          <w:sz w:val="18"/>
          <w:szCs w:val="18"/>
        </w:rPr>
        <w:t>Haštalská 760/27, Staré Město, 110 00 Praha 1</w:t>
      </w:r>
    </w:p>
    <w:p w14:paraId="17F85E9C" w14:textId="77777777" w:rsidR="009C4B2F" w:rsidRPr="00083C70" w:rsidRDefault="00C56250" w:rsidP="00C56250">
      <w:pPr>
        <w:rPr>
          <w:rStyle w:val="nowrap"/>
          <w:rFonts w:asciiTheme="minorHAnsi" w:hAnsiTheme="minorHAnsi"/>
          <w:sz w:val="18"/>
          <w:szCs w:val="18"/>
        </w:rPr>
      </w:pPr>
      <w:r w:rsidRPr="00083C70">
        <w:rPr>
          <w:rFonts w:asciiTheme="minorHAnsi" w:hAnsiTheme="minorHAnsi" w:cs="Arial"/>
          <w:sz w:val="18"/>
          <w:szCs w:val="18"/>
        </w:rPr>
        <w:t xml:space="preserve">IČO: </w:t>
      </w:r>
      <w:r w:rsidR="009C4B2F" w:rsidRPr="00083C70">
        <w:rPr>
          <w:rStyle w:val="nowrap"/>
          <w:rFonts w:asciiTheme="minorHAnsi" w:hAnsiTheme="minorHAnsi"/>
          <w:sz w:val="18"/>
          <w:szCs w:val="18"/>
        </w:rPr>
        <w:t>07687672</w:t>
      </w:r>
    </w:p>
    <w:p w14:paraId="2E525486" w14:textId="77777777" w:rsidR="00C56250" w:rsidRPr="00083C70" w:rsidRDefault="009C4B2F" w:rsidP="00C56250">
      <w:pPr>
        <w:rPr>
          <w:rFonts w:asciiTheme="minorHAnsi" w:hAnsiTheme="minorHAnsi" w:cs="Arial"/>
          <w:sz w:val="18"/>
          <w:szCs w:val="18"/>
        </w:rPr>
      </w:pPr>
      <w:r w:rsidRPr="00083C70">
        <w:rPr>
          <w:rFonts w:asciiTheme="minorHAnsi" w:hAnsiTheme="minorHAnsi" w:cs="Arial"/>
          <w:sz w:val="18"/>
          <w:szCs w:val="18"/>
        </w:rPr>
        <w:t xml:space="preserve">zastoupený: Ing. Petrem Justou, jednatelem </w:t>
      </w:r>
    </w:p>
    <w:p w14:paraId="278167F5" w14:textId="77777777" w:rsidR="00847E69" w:rsidRPr="00083C70" w:rsidRDefault="00847E69" w:rsidP="00C56250">
      <w:pPr>
        <w:rPr>
          <w:rFonts w:asciiTheme="minorHAnsi" w:hAnsiTheme="minorHAnsi" w:cs="Arial"/>
          <w:sz w:val="18"/>
          <w:szCs w:val="18"/>
        </w:rPr>
      </w:pPr>
      <w:r w:rsidRPr="00083C70">
        <w:rPr>
          <w:rFonts w:asciiTheme="minorHAnsi" w:hAnsiTheme="minorHAnsi"/>
          <w:sz w:val="18"/>
          <w:szCs w:val="18"/>
        </w:rPr>
        <w:t xml:space="preserve">bankovní spojení: </w:t>
      </w:r>
      <w:r w:rsidR="00ED7EC5" w:rsidRPr="00083C70">
        <w:rPr>
          <w:rFonts w:asciiTheme="minorHAnsi" w:hAnsiTheme="minorHAnsi"/>
          <w:sz w:val="18"/>
          <w:szCs w:val="18"/>
        </w:rPr>
        <w:t>MONETA Money Bank</w:t>
      </w:r>
      <w:r w:rsidRPr="00083C70">
        <w:rPr>
          <w:rFonts w:asciiTheme="minorHAnsi" w:hAnsiTheme="minorHAnsi"/>
          <w:sz w:val="18"/>
          <w:szCs w:val="18"/>
        </w:rPr>
        <w:t>, č. ú.:</w:t>
      </w:r>
      <w:r w:rsidR="00ED7EC5" w:rsidRPr="00083C70">
        <w:rPr>
          <w:rFonts w:asciiTheme="minorHAnsi" w:hAnsiTheme="minorHAnsi"/>
          <w:sz w:val="18"/>
          <w:szCs w:val="18"/>
        </w:rPr>
        <w:t>219154178/0600</w:t>
      </w:r>
    </w:p>
    <w:p w14:paraId="2A7DDC3A" w14:textId="77777777" w:rsidR="00C56250" w:rsidRPr="00083C70" w:rsidRDefault="00C56250" w:rsidP="00C56250">
      <w:pPr>
        <w:rPr>
          <w:rFonts w:asciiTheme="minorHAnsi" w:hAnsiTheme="minorHAnsi" w:cs="Arial"/>
          <w:sz w:val="18"/>
          <w:szCs w:val="18"/>
        </w:rPr>
      </w:pPr>
      <w:r w:rsidRPr="00083C70">
        <w:rPr>
          <w:rFonts w:asciiTheme="minorHAnsi" w:hAnsiTheme="minorHAnsi" w:cs="Arial"/>
          <w:sz w:val="18"/>
          <w:szCs w:val="18"/>
        </w:rPr>
        <w:t>(dále jen „</w:t>
      </w:r>
      <w:r w:rsidR="00B64DBB" w:rsidRPr="00083C70">
        <w:rPr>
          <w:rFonts w:asciiTheme="minorHAnsi" w:hAnsiTheme="minorHAnsi" w:cs="Arial"/>
          <w:b/>
          <w:sz w:val="18"/>
          <w:szCs w:val="18"/>
        </w:rPr>
        <w:t>GEMA ART</w:t>
      </w:r>
      <w:r w:rsidRPr="00083C70">
        <w:rPr>
          <w:rFonts w:asciiTheme="minorHAnsi" w:hAnsiTheme="minorHAnsi" w:cs="Arial"/>
          <w:sz w:val="18"/>
          <w:szCs w:val="18"/>
        </w:rPr>
        <w:t>“)</w:t>
      </w:r>
    </w:p>
    <w:p w14:paraId="397655B8" w14:textId="77777777" w:rsidR="00C56250" w:rsidRPr="00083C70" w:rsidRDefault="00C56250" w:rsidP="00C56250">
      <w:pPr>
        <w:rPr>
          <w:rFonts w:asciiTheme="minorHAnsi" w:hAnsiTheme="minorHAnsi" w:cs="Arial"/>
          <w:sz w:val="18"/>
          <w:szCs w:val="18"/>
        </w:rPr>
      </w:pPr>
    </w:p>
    <w:p w14:paraId="0BC3339C" w14:textId="77777777" w:rsidR="00C56250" w:rsidRPr="00083C70" w:rsidRDefault="00C56250" w:rsidP="00C56250">
      <w:pPr>
        <w:pStyle w:val="Normln0"/>
        <w:jc w:val="center"/>
        <w:rPr>
          <w:rFonts w:asciiTheme="minorHAnsi" w:hAnsiTheme="minorHAnsi"/>
          <w:sz w:val="18"/>
          <w:szCs w:val="18"/>
        </w:rPr>
      </w:pPr>
      <w:r w:rsidRPr="00083C70">
        <w:rPr>
          <w:rFonts w:asciiTheme="minorHAnsi" w:hAnsiTheme="minorHAnsi"/>
          <w:sz w:val="18"/>
          <w:szCs w:val="18"/>
        </w:rPr>
        <w:t>jako smluvní strany uzavřely v souladu s</w:t>
      </w:r>
      <w:r w:rsidR="00103B86" w:rsidRPr="00083C70">
        <w:rPr>
          <w:rFonts w:asciiTheme="minorHAnsi" w:hAnsiTheme="minorHAnsi"/>
          <w:sz w:val="18"/>
          <w:szCs w:val="18"/>
        </w:rPr>
        <w:t> ust. § 1746 odst. 2 a § 2586 a násl.</w:t>
      </w:r>
      <w:r w:rsidRPr="00083C70">
        <w:rPr>
          <w:rFonts w:asciiTheme="minorHAnsi" w:hAnsiTheme="minorHAnsi"/>
          <w:sz w:val="18"/>
          <w:szCs w:val="18"/>
        </w:rPr>
        <w:t xml:space="preserve"> zákonem č. 89/2012 Sb., občanský zákoník, ve znění pozdějších předpisů, níže uvedeného dne, měsíce a roku tuto</w:t>
      </w:r>
    </w:p>
    <w:p w14:paraId="5A9FB140" w14:textId="77777777" w:rsidR="00DD623A" w:rsidRPr="00083C70" w:rsidRDefault="00C56250" w:rsidP="00BD2D62">
      <w:pPr>
        <w:pStyle w:val="Normln0"/>
        <w:jc w:val="center"/>
        <w:rPr>
          <w:rFonts w:asciiTheme="minorHAnsi" w:hAnsiTheme="minorHAnsi"/>
          <w:b/>
          <w:sz w:val="18"/>
          <w:szCs w:val="18"/>
        </w:rPr>
      </w:pPr>
      <w:r w:rsidRPr="00083C70">
        <w:rPr>
          <w:rFonts w:asciiTheme="minorHAnsi" w:hAnsiTheme="minorHAnsi"/>
          <w:b/>
          <w:sz w:val="18"/>
          <w:szCs w:val="18"/>
        </w:rPr>
        <w:t xml:space="preserve">smlouvu o </w:t>
      </w:r>
      <w:r w:rsidR="0061266A">
        <w:rPr>
          <w:rFonts w:asciiTheme="minorHAnsi" w:hAnsiTheme="minorHAnsi"/>
          <w:b/>
          <w:sz w:val="18"/>
          <w:szCs w:val="18"/>
        </w:rPr>
        <w:t>poskytnutí služby</w:t>
      </w:r>
      <w:r w:rsidRPr="00083C70">
        <w:rPr>
          <w:rFonts w:asciiTheme="minorHAnsi" w:hAnsiTheme="minorHAnsi"/>
          <w:b/>
          <w:sz w:val="18"/>
          <w:szCs w:val="18"/>
        </w:rPr>
        <w:t>:</w:t>
      </w:r>
    </w:p>
    <w:p w14:paraId="3B5FCC53" w14:textId="77777777" w:rsidR="0030272F" w:rsidRPr="00083C70" w:rsidRDefault="0030272F" w:rsidP="0030272F">
      <w:pPr>
        <w:pStyle w:val="Nadpis1"/>
        <w:numPr>
          <w:ilvl w:val="0"/>
          <w:numId w:val="0"/>
        </w:numPr>
        <w:spacing w:before="0" w:after="0"/>
        <w:ind w:left="284" w:hanging="284"/>
        <w:rPr>
          <w:rFonts w:asciiTheme="minorHAnsi" w:hAnsiTheme="minorHAnsi"/>
          <w:sz w:val="18"/>
          <w:szCs w:val="18"/>
        </w:rPr>
      </w:pPr>
    </w:p>
    <w:p w14:paraId="652E7174" w14:textId="77777777" w:rsidR="00DD623A" w:rsidRPr="00083C70" w:rsidRDefault="0030272F" w:rsidP="0030272F">
      <w:pPr>
        <w:pStyle w:val="Nadpis1"/>
        <w:numPr>
          <w:ilvl w:val="0"/>
          <w:numId w:val="0"/>
        </w:numPr>
        <w:spacing w:before="0" w:after="0"/>
        <w:ind w:left="284" w:hanging="284"/>
        <w:rPr>
          <w:rFonts w:asciiTheme="minorHAnsi" w:hAnsiTheme="minorHAnsi"/>
          <w:sz w:val="18"/>
          <w:szCs w:val="18"/>
        </w:rPr>
      </w:pPr>
      <w:r w:rsidRPr="00083C70">
        <w:rPr>
          <w:rFonts w:asciiTheme="minorHAnsi" w:hAnsiTheme="minorHAnsi"/>
          <w:sz w:val="18"/>
          <w:szCs w:val="18"/>
        </w:rPr>
        <w:t>Preambule</w:t>
      </w:r>
    </w:p>
    <w:p w14:paraId="41C35F29" w14:textId="32AA3925" w:rsidR="0041131D" w:rsidRPr="00E131FB" w:rsidRDefault="00103B86" w:rsidP="00EC2497">
      <w:p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83C70">
        <w:rPr>
          <w:rFonts w:asciiTheme="minorHAnsi" w:hAnsiTheme="minorHAnsi"/>
          <w:sz w:val="18"/>
          <w:szCs w:val="18"/>
        </w:rPr>
        <w:t xml:space="preserve">NPÚ hodlá </w:t>
      </w:r>
      <w:r w:rsidR="0041131D" w:rsidRPr="00083C70">
        <w:rPr>
          <w:rFonts w:asciiTheme="minorHAnsi" w:hAnsiTheme="minorHAnsi"/>
          <w:sz w:val="18"/>
          <w:szCs w:val="18"/>
        </w:rPr>
        <w:t xml:space="preserve">na základě pomoci Vlády České republiky a v rámci realizace programu asistence Iráku koordinovaného Ministerstvem zahraničních věcí České republiky </w:t>
      </w:r>
      <w:r w:rsidR="0041131D" w:rsidRPr="00E131FB">
        <w:rPr>
          <w:rFonts w:asciiTheme="minorHAnsi" w:hAnsiTheme="minorHAnsi"/>
          <w:sz w:val="18"/>
          <w:szCs w:val="18"/>
        </w:rPr>
        <w:t>realizovat vzdělávací program pro irácké specialisty v oblasti památkové péče (dále též jen „Projekt“). Projekt bude realizovat NPÚ</w:t>
      </w:r>
      <w:r w:rsidR="0061266A" w:rsidRPr="00E131FB">
        <w:rPr>
          <w:rFonts w:asciiTheme="minorHAnsi" w:hAnsiTheme="minorHAnsi"/>
          <w:sz w:val="18"/>
          <w:szCs w:val="18"/>
        </w:rPr>
        <w:t xml:space="preserve"> </w:t>
      </w:r>
      <w:r w:rsidR="0041131D" w:rsidRPr="00E131FB">
        <w:rPr>
          <w:rFonts w:asciiTheme="minorHAnsi" w:hAnsiTheme="minorHAnsi"/>
          <w:sz w:val="18"/>
          <w:szCs w:val="18"/>
        </w:rPr>
        <w:t>ve spolupráci s Iráckým institutem pro ochranu památek a</w:t>
      </w:r>
      <w:r w:rsidR="00083122" w:rsidRPr="00E131FB">
        <w:rPr>
          <w:rFonts w:asciiTheme="minorHAnsi" w:hAnsiTheme="minorHAnsi"/>
          <w:sz w:val="18"/>
          <w:szCs w:val="18"/>
        </w:rPr>
        <w:t> </w:t>
      </w:r>
      <w:r w:rsidR="0041131D" w:rsidRPr="00E131FB">
        <w:rPr>
          <w:rFonts w:asciiTheme="minorHAnsi" w:hAnsiTheme="minorHAnsi"/>
          <w:sz w:val="18"/>
          <w:szCs w:val="18"/>
        </w:rPr>
        <w:t>kulturního dědictví v</w:t>
      </w:r>
      <w:r w:rsidR="006C793D" w:rsidRPr="00E131FB">
        <w:rPr>
          <w:rFonts w:asciiTheme="minorHAnsi" w:hAnsiTheme="minorHAnsi"/>
          <w:sz w:val="18"/>
          <w:szCs w:val="18"/>
        </w:rPr>
        <w:t> </w:t>
      </w:r>
      <w:r w:rsidR="0041131D" w:rsidRPr="00E131FB">
        <w:rPr>
          <w:rFonts w:asciiTheme="minorHAnsi" w:hAnsiTheme="minorHAnsi"/>
          <w:sz w:val="18"/>
          <w:szCs w:val="18"/>
        </w:rPr>
        <w:t>Erbílu</w:t>
      </w:r>
      <w:r w:rsidR="006C793D" w:rsidRPr="00E131FB">
        <w:rPr>
          <w:rFonts w:asciiTheme="minorHAnsi" w:hAnsiTheme="minorHAnsi"/>
          <w:sz w:val="18"/>
          <w:szCs w:val="18"/>
        </w:rPr>
        <w:t xml:space="preserve"> (dále jen „Irácký institut“)</w:t>
      </w:r>
      <w:r w:rsidR="0041131D" w:rsidRPr="00E131FB">
        <w:rPr>
          <w:rFonts w:asciiTheme="minorHAnsi" w:hAnsiTheme="minorHAnsi"/>
          <w:sz w:val="18"/>
          <w:szCs w:val="18"/>
        </w:rPr>
        <w:t>. Cílem Projektu je proškolit v severním Iráku irácké odborníky - památkáře, kteří budou své na základě Projektu nabyté zkušenosti předávat dále a dohlížet na obnovu památek zejména v oblastech dokumentace, evidence, konzervace, restaurování a preventivní péče. Dalšími subjekty spolupracujícími na Projektu</w:t>
      </w:r>
      <w:r w:rsidR="00EC2497" w:rsidRPr="00E131FB">
        <w:rPr>
          <w:rFonts w:asciiTheme="minorHAnsi" w:hAnsiTheme="minorHAnsi"/>
          <w:sz w:val="18"/>
          <w:szCs w:val="18"/>
        </w:rPr>
        <w:t xml:space="preserve"> jsou,</w:t>
      </w:r>
      <w:r w:rsidR="0041131D" w:rsidRPr="00E131FB">
        <w:rPr>
          <w:rFonts w:asciiTheme="minorHAnsi" w:hAnsiTheme="minorHAnsi"/>
          <w:sz w:val="18"/>
          <w:szCs w:val="18"/>
        </w:rPr>
        <w:t xml:space="preserve"> </w:t>
      </w:r>
      <w:r w:rsidR="00EC2497" w:rsidRPr="00E131FB">
        <w:rPr>
          <w:rFonts w:asciiTheme="minorHAnsi" w:hAnsiTheme="minorHAnsi"/>
          <w:sz w:val="18"/>
          <w:szCs w:val="18"/>
        </w:rPr>
        <w:t>vedle odborníků</w:t>
      </w:r>
      <w:r w:rsidR="0041131D" w:rsidRPr="00E131FB">
        <w:rPr>
          <w:rFonts w:asciiTheme="minorHAnsi" w:hAnsiTheme="minorHAnsi"/>
          <w:sz w:val="18"/>
          <w:szCs w:val="18"/>
        </w:rPr>
        <w:t xml:space="preserve"> GEMA ART</w:t>
      </w:r>
      <w:r w:rsidR="00EC2497" w:rsidRPr="00E131FB">
        <w:rPr>
          <w:rFonts w:asciiTheme="minorHAnsi" w:hAnsiTheme="minorHAnsi"/>
          <w:sz w:val="18"/>
          <w:szCs w:val="18"/>
        </w:rPr>
        <w:t>,</w:t>
      </w:r>
      <w:r w:rsidR="0041131D" w:rsidRPr="00E131FB">
        <w:rPr>
          <w:rFonts w:asciiTheme="minorHAnsi" w:hAnsiTheme="minorHAnsi"/>
          <w:sz w:val="18"/>
          <w:szCs w:val="18"/>
        </w:rPr>
        <w:t xml:space="preserve"> </w:t>
      </w:r>
      <w:r w:rsidR="0041131D" w:rsidRPr="00E131FB">
        <w:rPr>
          <w:rFonts w:asciiTheme="minorHAnsi" w:hAnsiTheme="minorHAnsi" w:cstheme="minorHAnsi"/>
          <w:color w:val="000000"/>
          <w:sz w:val="18"/>
          <w:szCs w:val="18"/>
        </w:rPr>
        <w:t>odborníci z</w:t>
      </w:r>
      <w:r w:rsidR="00EC2497" w:rsidRPr="00E131FB">
        <w:rPr>
          <w:rFonts w:asciiTheme="minorHAnsi" w:hAnsiTheme="minorHAnsi" w:cstheme="minorHAnsi"/>
          <w:color w:val="000000"/>
          <w:sz w:val="18"/>
          <w:szCs w:val="18"/>
        </w:rPr>
        <w:t> katedry historie Filozofické fakulty</w:t>
      </w:r>
      <w:r w:rsidR="0041131D" w:rsidRPr="00E131FB">
        <w:rPr>
          <w:rFonts w:asciiTheme="minorHAnsi" w:hAnsiTheme="minorHAnsi" w:cstheme="minorHAnsi"/>
          <w:color w:val="000000"/>
          <w:sz w:val="18"/>
          <w:szCs w:val="18"/>
        </w:rPr>
        <w:t xml:space="preserve"> Univerzity Palackého v Olomouci (UPOL), </w:t>
      </w:r>
      <w:r w:rsidR="00EC2497" w:rsidRPr="00E131FB">
        <w:rPr>
          <w:rFonts w:asciiTheme="minorHAnsi" w:hAnsiTheme="minorHAnsi" w:cstheme="minorHAnsi"/>
          <w:color w:val="000000"/>
          <w:sz w:val="18"/>
          <w:szCs w:val="18"/>
        </w:rPr>
        <w:t xml:space="preserve">Fakulty archeologie Západočeské univerzity v Plzni (ZČU), </w:t>
      </w:r>
      <w:r w:rsidR="0041131D" w:rsidRPr="00E131FB">
        <w:rPr>
          <w:rFonts w:asciiTheme="minorHAnsi" w:hAnsiTheme="minorHAnsi" w:cstheme="minorHAnsi"/>
          <w:color w:val="000000"/>
          <w:sz w:val="18"/>
          <w:szCs w:val="18"/>
        </w:rPr>
        <w:t>Fakulty restaurování Univerzity Pardubice v Litomyšli (</w:t>
      </w:r>
      <w:r w:rsidR="00EC2497" w:rsidRPr="00E131FB">
        <w:rPr>
          <w:rFonts w:asciiTheme="minorHAnsi" w:hAnsiTheme="minorHAnsi" w:cstheme="minorHAnsi"/>
          <w:color w:val="000000"/>
          <w:sz w:val="18"/>
          <w:szCs w:val="18"/>
        </w:rPr>
        <w:t>UPCE</w:t>
      </w:r>
      <w:r w:rsidR="0041131D" w:rsidRPr="00E131FB">
        <w:rPr>
          <w:rFonts w:asciiTheme="minorHAnsi" w:hAnsiTheme="minorHAnsi" w:cstheme="minorHAnsi"/>
          <w:color w:val="000000"/>
          <w:sz w:val="18"/>
          <w:szCs w:val="18"/>
        </w:rPr>
        <w:t>)</w:t>
      </w:r>
      <w:r w:rsidR="00EC2497" w:rsidRPr="00E131FB">
        <w:rPr>
          <w:rFonts w:asciiTheme="minorHAnsi" w:hAnsiTheme="minorHAnsi" w:cstheme="minorHAnsi"/>
          <w:color w:val="000000"/>
          <w:sz w:val="18"/>
          <w:szCs w:val="18"/>
        </w:rPr>
        <w:t>, Ústavu teoretické a aplikované mechaniky AV ČR (UTAM)</w:t>
      </w:r>
      <w:r w:rsidR="0041131D" w:rsidRPr="00E131FB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="00EC2497" w:rsidRPr="00E131FB">
        <w:rPr>
          <w:rFonts w:asciiTheme="minorHAnsi" w:hAnsiTheme="minorHAnsi" w:cstheme="minorHAnsi"/>
          <w:color w:val="000000"/>
          <w:sz w:val="18"/>
          <w:szCs w:val="18"/>
        </w:rPr>
        <w:t>Filozofické fakulty Univerzity J. E. Purkyně v Ústí nad Labem (UJEP), Fakulty stavební Českého vysokého učení technického v Praze (ČVUT)</w:t>
      </w:r>
      <w:r w:rsidR="0041131D" w:rsidRPr="00E131FB">
        <w:rPr>
          <w:rFonts w:asciiTheme="minorHAnsi" w:hAnsiTheme="minorHAnsi" w:cstheme="minorHAnsi"/>
          <w:color w:val="000000"/>
          <w:sz w:val="18"/>
          <w:szCs w:val="18"/>
        </w:rPr>
        <w:t xml:space="preserve">. Tato smlouva o </w:t>
      </w:r>
      <w:r w:rsidR="0061266A" w:rsidRPr="00E131FB">
        <w:rPr>
          <w:rFonts w:asciiTheme="minorHAnsi" w:hAnsiTheme="minorHAnsi" w:cstheme="minorHAnsi"/>
          <w:color w:val="000000"/>
          <w:sz w:val="18"/>
          <w:szCs w:val="18"/>
        </w:rPr>
        <w:t>poskytnutí služby</w:t>
      </w:r>
      <w:r w:rsidR="0041131D" w:rsidRPr="00E131FB">
        <w:rPr>
          <w:rFonts w:asciiTheme="minorHAnsi" w:hAnsiTheme="minorHAnsi" w:cstheme="minorHAnsi"/>
          <w:color w:val="000000"/>
          <w:sz w:val="18"/>
          <w:szCs w:val="18"/>
        </w:rPr>
        <w:t xml:space="preserve"> je uzavírána za účelem realizace uvedeného Projektu</w:t>
      </w:r>
      <w:r w:rsidR="00EA7EBB" w:rsidRPr="00E131FB">
        <w:rPr>
          <w:rFonts w:asciiTheme="minorHAnsi" w:hAnsiTheme="minorHAnsi" w:cstheme="minorHAnsi"/>
          <w:color w:val="000000"/>
          <w:sz w:val="18"/>
          <w:szCs w:val="18"/>
        </w:rPr>
        <w:t xml:space="preserve">, jehož detailní popis je uveden v příloze č. </w:t>
      </w:r>
      <w:r w:rsidR="00A17376" w:rsidRPr="00E131FB">
        <w:rPr>
          <w:rFonts w:asciiTheme="minorHAnsi" w:hAnsiTheme="minorHAnsi" w:cstheme="minorHAnsi"/>
          <w:color w:val="000000"/>
          <w:sz w:val="18"/>
          <w:szCs w:val="18"/>
        </w:rPr>
        <w:t>1</w:t>
      </w:r>
      <w:r w:rsidR="0041131D" w:rsidRPr="00E131FB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7F267092" w14:textId="77777777" w:rsidR="0030272F" w:rsidRPr="00E131FB" w:rsidRDefault="0030272F" w:rsidP="0030272F">
      <w:pPr>
        <w:spacing w:after="200" w:line="276" w:lineRule="auto"/>
        <w:contextualSpacing/>
        <w:rPr>
          <w:rFonts w:asciiTheme="minorHAnsi" w:hAnsiTheme="minorHAnsi"/>
          <w:sz w:val="18"/>
          <w:szCs w:val="18"/>
        </w:rPr>
      </w:pPr>
    </w:p>
    <w:p w14:paraId="00B99897" w14:textId="77777777" w:rsidR="0030272F" w:rsidRPr="00E131FB" w:rsidRDefault="0030272F" w:rsidP="0030272F">
      <w:pPr>
        <w:pStyle w:val="Odstavecseseznamem"/>
        <w:numPr>
          <w:ilvl w:val="0"/>
          <w:numId w:val="3"/>
        </w:numPr>
        <w:spacing w:after="200" w:line="276" w:lineRule="auto"/>
        <w:contextualSpacing/>
        <w:jc w:val="center"/>
        <w:rPr>
          <w:rFonts w:asciiTheme="minorHAnsi" w:hAnsiTheme="minorHAnsi"/>
          <w:b/>
          <w:sz w:val="18"/>
          <w:szCs w:val="18"/>
        </w:rPr>
      </w:pPr>
      <w:r w:rsidRPr="00E131FB">
        <w:rPr>
          <w:rFonts w:asciiTheme="minorHAnsi" w:hAnsiTheme="minorHAnsi"/>
          <w:b/>
          <w:sz w:val="18"/>
          <w:szCs w:val="18"/>
        </w:rPr>
        <w:t xml:space="preserve">Předmět smlouvy </w:t>
      </w:r>
    </w:p>
    <w:p w14:paraId="6B1F7C98" w14:textId="77777777" w:rsidR="00E25B49" w:rsidRPr="00E131FB" w:rsidRDefault="0024001E" w:rsidP="00D37F69">
      <w:pPr>
        <w:pStyle w:val="Odstavecseseznamem"/>
        <w:numPr>
          <w:ilvl w:val="0"/>
          <w:numId w:val="4"/>
        </w:numPr>
        <w:ind w:left="426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 xml:space="preserve">Předmětem této smlouvy je úprava podmínek, za kterých </w:t>
      </w:r>
      <w:r w:rsidR="00B64DBB" w:rsidRPr="00E131FB">
        <w:rPr>
          <w:rFonts w:asciiTheme="minorHAnsi" w:hAnsiTheme="minorHAnsi"/>
          <w:sz w:val="18"/>
          <w:szCs w:val="18"/>
        </w:rPr>
        <w:t>GEMA ART poskytne</w:t>
      </w:r>
      <w:r w:rsidRPr="00E131FB">
        <w:rPr>
          <w:rFonts w:asciiTheme="minorHAnsi" w:hAnsiTheme="minorHAnsi"/>
          <w:sz w:val="18"/>
          <w:szCs w:val="18"/>
        </w:rPr>
        <w:t xml:space="preserve"> </w:t>
      </w:r>
      <w:r w:rsidR="00E25B49" w:rsidRPr="00E131FB">
        <w:rPr>
          <w:rFonts w:asciiTheme="minorHAnsi" w:hAnsiTheme="minorHAnsi"/>
          <w:sz w:val="18"/>
          <w:szCs w:val="18"/>
        </w:rPr>
        <w:t>NPÚ plnění</w:t>
      </w:r>
      <w:r w:rsidR="00FF3437" w:rsidRPr="00E131FB">
        <w:rPr>
          <w:rFonts w:asciiTheme="minorHAnsi" w:hAnsiTheme="minorHAnsi"/>
          <w:sz w:val="18"/>
          <w:szCs w:val="18"/>
        </w:rPr>
        <w:t xml:space="preserve"> specifikované v příloze </w:t>
      </w:r>
      <w:r w:rsidR="00A17376" w:rsidRPr="00E131FB">
        <w:rPr>
          <w:rFonts w:asciiTheme="minorHAnsi" w:hAnsiTheme="minorHAnsi"/>
          <w:sz w:val="18"/>
          <w:szCs w:val="18"/>
        </w:rPr>
        <w:t>č. 2</w:t>
      </w:r>
      <w:r w:rsidR="00FF3437" w:rsidRPr="00E131FB">
        <w:rPr>
          <w:rFonts w:asciiTheme="minorHAnsi" w:hAnsiTheme="minorHAnsi"/>
          <w:sz w:val="18"/>
          <w:szCs w:val="18"/>
        </w:rPr>
        <w:t xml:space="preserve"> této smlouvy (dále jen „služba“).</w:t>
      </w:r>
    </w:p>
    <w:p w14:paraId="31FBC5B6" w14:textId="77777777" w:rsidR="00F716A1" w:rsidRPr="00E131FB" w:rsidRDefault="00B64DBB" w:rsidP="00D37F69">
      <w:pPr>
        <w:pStyle w:val="Odstavecseseznamem"/>
        <w:numPr>
          <w:ilvl w:val="0"/>
          <w:numId w:val="4"/>
        </w:numPr>
        <w:ind w:left="426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 xml:space="preserve">GEMA ART se zavazuje poskytnout službu </w:t>
      </w:r>
      <w:r w:rsidR="0024001E" w:rsidRPr="00E131FB">
        <w:rPr>
          <w:rFonts w:asciiTheme="minorHAnsi" w:hAnsiTheme="minorHAnsi"/>
          <w:sz w:val="18"/>
          <w:szCs w:val="18"/>
        </w:rPr>
        <w:t xml:space="preserve">řádně, kvalitně a včas. </w:t>
      </w:r>
      <w:r w:rsidRPr="00E131FB">
        <w:rPr>
          <w:rFonts w:asciiTheme="minorHAnsi" w:hAnsiTheme="minorHAnsi"/>
          <w:sz w:val="18"/>
          <w:szCs w:val="18"/>
        </w:rPr>
        <w:t>NPÚ</w:t>
      </w:r>
      <w:r w:rsidR="0024001E" w:rsidRPr="00E131FB">
        <w:rPr>
          <w:rFonts w:asciiTheme="minorHAnsi" w:hAnsiTheme="minorHAnsi"/>
          <w:sz w:val="18"/>
          <w:szCs w:val="18"/>
        </w:rPr>
        <w:t xml:space="preserve"> se zavazuje </w:t>
      </w:r>
      <w:r w:rsidRPr="00E131FB">
        <w:rPr>
          <w:rFonts w:asciiTheme="minorHAnsi" w:hAnsiTheme="minorHAnsi"/>
          <w:sz w:val="18"/>
          <w:szCs w:val="18"/>
        </w:rPr>
        <w:t xml:space="preserve">za </w:t>
      </w:r>
      <w:r w:rsidR="0024001E" w:rsidRPr="00E131FB">
        <w:rPr>
          <w:rFonts w:asciiTheme="minorHAnsi" w:hAnsiTheme="minorHAnsi"/>
          <w:sz w:val="18"/>
          <w:szCs w:val="18"/>
        </w:rPr>
        <w:t xml:space="preserve">řádně </w:t>
      </w:r>
      <w:r w:rsidRPr="00E131FB">
        <w:rPr>
          <w:rFonts w:asciiTheme="minorHAnsi" w:hAnsiTheme="minorHAnsi"/>
          <w:sz w:val="18"/>
          <w:szCs w:val="18"/>
        </w:rPr>
        <w:t>poskytnutou službu</w:t>
      </w:r>
      <w:r w:rsidR="0024001E" w:rsidRPr="00E131FB">
        <w:rPr>
          <w:rFonts w:asciiTheme="minorHAnsi" w:hAnsiTheme="minorHAnsi"/>
          <w:sz w:val="18"/>
          <w:szCs w:val="18"/>
        </w:rPr>
        <w:t xml:space="preserve"> včas zaplatit cenu sjednanou podle této smlouvy.</w:t>
      </w:r>
    </w:p>
    <w:p w14:paraId="22DCAB1D" w14:textId="77777777" w:rsidR="00B64DBB" w:rsidRPr="00E131FB" w:rsidRDefault="00B64DBB" w:rsidP="001738DB">
      <w:pPr>
        <w:jc w:val="center"/>
        <w:rPr>
          <w:rFonts w:asciiTheme="minorHAnsi" w:hAnsiTheme="minorHAnsi"/>
          <w:b/>
          <w:sz w:val="18"/>
          <w:szCs w:val="18"/>
        </w:rPr>
      </w:pPr>
    </w:p>
    <w:p w14:paraId="069D42C4" w14:textId="77777777" w:rsidR="00215A79" w:rsidRPr="00E131FB" w:rsidRDefault="003F2CCA" w:rsidP="0030272F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18"/>
          <w:szCs w:val="18"/>
        </w:rPr>
      </w:pPr>
      <w:r w:rsidRPr="00E131FB">
        <w:rPr>
          <w:rFonts w:asciiTheme="minorHAnsi" w:hAnsiTheme="minorHAnsi"/>
          <w:b/>
          <w:sz w:val="18"/>
          <w:szCs w:val="18"/>
        </w:rPr>
        <w:t>Doba a místo plnění a další podmínky</w:t>
      </w:r>
    </w:p>
    <w:p w14:paraId="5A171AC4" w14:textId="475EFD95" w:rsidR="009B3C60" w:rsidRPr="00E131FB" w:rsidRDefault="00B64DBB" w:rsidP="00D37F69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>GEMA ART</w:t>
      </w:r>
      <w:r w:rsidR="0024001E" w:rsidRPr="00E131FB">
        <w:rPr>
          <w:rFonts w:asciiTheme="minorHAnsi" w:hAnsiTheme="minorHAnsi"/>
          <w:sz w:val="18"/>
          <w:szCs w:val="18"/>
        </w:rPr>
        <w:t xml:space="preserve"> se zavazuje </w:t>
      </w:r>
      <w:r w:rsidRPr="00E131FB">
        <w:rPr>
          <w:rFonts w:asciiTheme="minorHAnsi" w:hAnsiTheme="minorHAnsi"/>
          <w:sz w:val="18"/>
          <w:szCs w:val="18"/>
        </w:rPr>
        <w:t>v</w:t>
      </w:r>
      <w:r w:rsidR="00FF3437" w:rsidRPr="00E131FB">
        <w:rPr>
          <w:rFonts w:asciiTheme="minorHAnsi" w:hAnsiTheme="minorHAnsi"/>
          <w:sz w:val="18"/>
          <w:szCs w:val="18"/>
        </w:rPr>
        <w:t xml:space="preserve"> termínu </w:t>
      </w:r>
      <w:r w:rsidR="00E25B49" w:rsidRPr="00E131FB">
        <w:rPr>
          <w:rFonts w:asciiTheme="minorHAnsi" w:hAnsiTheme="minorHAnsi"/>
          <w:sz w:val="18"/>
          <w:szCs w:val="18"/>
        </w:rPr>
        <w:t>do</w:t>
      </w:r>
      <w:r w:rsidR="00DE79D7" w:rsidRPr="00E131FB">
        <w:rPr>
          <w:rFonts w:asciiTheme="minorHAnsi" w:hAnsiTheme="minorHAnsi"/>
          <w:sz w:val="18"/>
          <w:szCs w:val="18"/>
        </w:rPr>
        <w:t xml:space="preserve"> 3. 10</w:t>
      </w:r>
      <w:r w:rsidR="00E25B49" w:rsidRPr="00E131FB">
        <w:rPr>
          <w:rFonts w:asciiTheme="minorHAnsi" w:hAnsiTheme="minorHAnsi"/>
          <w:sz w:val="18"/>
          <w:szCs w:val="18"/>
        </w:rPr>
        <w:t>. 20</w:t>
      </w:r>
      <w:r w:rsidR="00B45741" w:rsidRPr="00E131FB">
        <w:rPr>
          <w:rFonts w:asciiTheme="minorHAnsi" w:hAnsiTheme="minorHAnsi"/>
          <w:sz w:val="18"/>
          <w:szCs w:val="18"/>
        </w:rPr>
        <w:t>21</w:t>
      </w:r>
      <w:r w:rsidR="00E25B49" w:rsidRPr="00E131FB">
        <w:rPr>
          <w:rFonts w:asciiTheme="minorHAnsi" w:hAnsiTheme="minorHAnsi"/>
          <w:sz w:val="18"/>
          <w:szCs w:val="18"/>
        </w:rPr>
        <w:t xml:space="preserve"> </w:t>
      </w:r>
      <w:r w:rsidR="00B1078E" w:rsidRPr="00E131FB">
        <w:rPr>
          <w:rFonts w:asciiTheme="minorHAnsi" w:hAnsiTheme="minorHAnsi"/>
          <w:sz w:val="18"/>
          <w:szCs w:val="18"/>
        </w:rPr>
        <w:t>poskytnou</w:t>
      </w:r>
      <w:r w:rsidR="009B3C60" w:rsidRPr="00E131FB">
        <w:rPr>
          <w:rFonts w:asciiTheme="minorHAnsi" w:hAnsiTheme="minorHAnsi"/>
          <w:sz w:val="18"/>
          <w:szCs w:val="18"/>
        </w:rPr>
        <w:t>t</w:t>
      </w:r>
      <w:r w:rsidR="00B1078E" w:rsidRPr="00E131FB">
        <w:rPr>
          <w:rFonts w:asciiTheme="minorHAnsi" w:hAnsiTheme="minorHAnsi"/>
          <w:sz w:val="18"/>
          <w:szCs w:val="18"/>
        </w:rPr>
        <w:t xml:space="preserve"> služb</w:t>
      </w:r>
      <w:r w:rsidR="009B3C60" w:rsidRPr="00E131FB">
        <w:rPr>
          <w:rFonts w:asciiTheme="minorHAnsi" w:hAnsiTheme="minorHAnsi"/>
          <w:sz w:val="18"/>
          <w:szCs w:val="18"/>
        </w:rPr>
        <w:t xml:space="preserve">y uvedené v </w:t>
      </w:r>
      <w:r w:rsidR="00B1078E" w:rsidRPr="00E131FB">
        <w:rPr>
          <w:rFonts w:asciiTheme="minorHAnsi" w:hAnsiTheme="minorHAnsi"/>
          <w:sz w:val="18"/>
          <w:szCs w:val="18"/>
        </w:rPr>
        <w:t>bodu I</w:t>
      </w:r>
      <w:r w:rsidR="009B3C60" w:rsidRPr="00E131FB">
        <w:rPr>
          <w:rFonts w:asciiTheme="minorHAnsi" w:hAnsiTheme="minorHAnsi"/>
          <w:sz w:val="18"/>
          <w:szCs w:val="18"/>
        </w:rPr>
        <w:t>. této smlouvy.</w:t>
      </w:r>
      <w:r w:rsidR="00A17376" w:rsidRPr="00E131FB">
        <w:rPr>
          <w:rFonts w:asciiTheme="minorHAnsi" w:hAnsiTheme="minorHAnsi"/>
          <w:sz w:val="18"/>
          <w:szCs w:val="18"/>
        </w:rPr>
        <w:t xml:space="preserve"> Vzdělávací část Projektu se bude realizovat od 5. 9. do </w:t>
      </w:r>
      <w:r w:rsidR="00B45741" w:rsidRPr="00E131FB">
        <w:rPr>
          <w:rFonts w:asciiTheme="minorHAnsi" w:hAnsiTheme="minorHAnsi"/>
          <w:sz w:val="18"/>
          <w:szCs w:val="18"/>
        </w:rPr>
        <w:t>30</w:t>
      </w:r>
      <w:r w:rsidR="00A17376" w:rsidRPr="00E131FB">
        <w:rPr>
          <w:rFonts w:asciiTheme="minorHAnsi" w:hAnsiTheme="minorHAnsi"/>
          <w:sz w:val="18"/>
          <w:szCs w:val="18"/>
        </w:rPr>
        <w:t xml:space="preserve">. </w:t>
      </w:r>
      <w:r w:rsidR="00B45741" w:rsidRPr="00E131FB">
        <w:rPr>
          <w:rFonts w:asciiTheme="minorHAnsi" w:hAnsiTheme="minorHAnsi"/>
          <w:sz w:val="18"/>
          <w:szCs w:val="18"/>
        </w:rPr>
        <w:t>9</w:t>
      </w:r>
      <w:r w:rsidR="00A17376" w:rsidRPr="00E131FB">
        <w:rPr>
          <w:rFonts w:asciiTheme="minorHAnsi" w:hAnsiTheme="minorHAnsi"/>
          <w:sz w:val="18"/>
          <w:szCs w:val="18"/>
        </w:rPr>
        <w:t>. 20</w:t>
      </w:r>
      <w:r w:rsidR="00B45741" w:rsidRPr="00E131FB">
        <w:rPr>
          <w:rFonts w:asciiTheme="minorHAnsi" w:hAnsiTheme="minorHAnsi"/>
          <w:sz w:val="18"/>
          <w:szCs w:val="18"/>
        </w:rPr>
        <w:t>21</w:t>
      </w:r>
      <w:r w:rsidR="00A17376" w:rsidRPr="00E131FB">
        <w:rPr>
          <w:rFonts w:asciiTheme="minorHAnsi" w:hAnsiTheme="minorHAnsi"/>
          <w:sz w:val="18"/>
          <w:szCs w:val="18"/>
        </w:rPr>
        <w:t>.</w:t>
      </w:r>
    </w:p>
    <w:p w14:paraId="436AA892" w14:textId="3DBE2765" w:rsidR="00610BF5" w:rsidRPr="00E131FB" w:rsidRDefault="00B1078E" w:rsidP="00D37F69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 xml:space="preserve">Místem plnění </w:t>
      </w:r>
      <w:r w:rsidR="009B3C60" w:rsidRPr="00E131FB">
        <w:rPr>
          <w:rFonts w:asciiTheme="minorHAnsi" w:hAnsiTheme="minorHAnsi"/>
          <w:sz w:val="18"/>
          <w:szCs w:val="18"/>
        </w:rPr>
        <w:t>je Irák, p</w:t>
      </w:r>
      <w:r w:rsidRPr="00E131FB">
        <w:rPr>
          <w:rFonts w:asciiTheme="minorHAnsi" w:hAnsiTheme="minorHAnsi"/>
          <w:sz w:val="18"/>
          <w:szCs w:val="18"/>
        </w:rPr>
        <w:t>ro přednášky a workshopy je</w:t>
      </w:r>
      <w:r w:rsidR="009B3C60" w:rsidRPr="00E131FB">
        <w:rPr>
          <w:rFonts w:asciiTheme="minorHAnsi" w:hAnsiTheme="minorHAnsi"/>
          <w:sz w:val="18"/>
          <w:szCs w:val="18"/>
        </w:rPr>
        <w:t xml:space="preserve"> jím</w:t>
      </w:r>
      <w:r w:rsidRPr="00E131FB">
        <w:rPr>
          <w:rFonts w:asciiTheme="minorHAnsi" w:hAnsiTheme="minorHAnsi"/>
          <w:sz w:val="18"/>
          <w:szCs w:val="18"/>
        </w:rPr>
        <w:t xml:space="preserve"> Institut pro ochranu památek a kulturního dědictví v</w:t>
      </w:r>
      <w:r w:rsidR="009B3C60" w:rsidRPr="00E131FB">
        <w:rPr>
          <w:rFonts w:asciiTheme="minorHAnsi" w:hAnsiTheme="minorHAnsi"/>
          <w:sz w:val="18"/>
          <w:szCs w:val="18"/>
        </w:rPr>
        <w:t> </w:t>
      </w:r>
      <w:r w:rsidRPr="00E131FB">
        <w:rPr>
          <w:rFonts w:asciiTheme="minorHAnsi" w:hAnsiTheme="minorHAnsi"/>
          <w:sz w:val="18"/>
          <w:szCs w:val="18"/>
        </w:rPr>
        <w:t>Erbílu</w:t>
      </w:r>
      <w:r w:rsidR="009B3C60" w:rsidRPr="00E131FB">
        <w:rPr>
          <w:rFonts w:asciiTheme="minorHAnsi" w:hAnsiTheme="minorHAnsi"/>
          <w:sz w:val="18"/>
          <w:szCs w:val="18"/>
        </w:rPr>
        <w:t>. M</w:t>
      </w:r>
      <w:r w:rsidRPr="00E131FB">
        <w:rPr>
          <w:rFonts w:asciiTheme="minorHAnsi" w:hAnsiTheme="minorHAnsi"/>
          <w:sz w:val="18"/>
          <w:szCs w:val="18"/>
        </w:rPr>
        <w:t>ístem plnění pro exkurz</w:t>
      </w:r>
      <w:r w:rsidR="009B3C60" w:rsidRPr="00E131FB">
        <w:rPr>
          <w:rFonts w:asciiTheme="minorHAnsi" w:hAnsiTheme="minorHAnsi"/>
          <w:sz w:val="18"/>
          <w:szCs w:val="18"/>
        </w:rPr>
        <w:t xml:space="preserve">e </w:t>
      </w:r>
      <w:r w:rsidR="00AC4A22" w:rsidRPr="00E131FB">
        <w:rPr>
          <w:rFonts w:asciiTheme="minorHAnsi" w:hAnsiTheme="minorHAnsi"/>
          <w:sz w:val="18"/>
          <w:szCs w:val="18"/>
        </w:rPr>
        <w:t>je Alqosh v provincii Ninive,</w:t>
      </w:r>
      <w:r w:rsidR="00EC2497" w:rsidRPr="00E131F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C2497" w:rsidRPr="00E131FB">
        <w:rPr>
          <w:rFonts w:asciiTheme="minorHAnsi" w:hAnsiTheme="minorHAnsi"/>
          <w:sz w:val="18"/>
          <w:szCs w:val="18"/>
        </w:rPr>
        <w:t>Lališ</w:t>
      </w:r>
      <w:proofErr w:type="spellEnd"/>
      <w:r w:rsidR="00EC2497" w:rsidRPr="00E131FB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="00EC2497" w:rsidRPr="00E131FB">
        <w:rPr>
          <w:rFonts w:asciiTheme="minorHAnsi" w:hAnsiTheme="minorHAnsi"/>
          <w:sz w:val="18"/>
          <w:szCs w:val="18"/>
        </w:rPr>
        <w:t>Šuš</w:t>
      </w:r>
      <w:proofErr w:type="spellEnd"/>
      <w:r w:rsidR="00EC2497" w:rsidRPr="00E131FB">
        <w:rPr>
          <w:rFonts w:asciiTheme="minorHAnsi" w:hAnsiTheme="minorHAnsi"/>
          <w:sz w:val="18"/>
          <w:szCs w:val="18"/>
        </w:rPr>
        <w:t>,</w:t>
      </w:r>
      <w:r w:rsidR="00AC4A22" w:rsidRPr="00E131F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AC4A22" w:rsidRPr="00E131FB">
        <w:rPr>
          <w:rFonts w:asciiTheme="minorHAnsi" w:hAnsiTheme="minorHAnsi"/>
          <w:sz w:val="18"/>
          <w:szCs w:val="18"/>
        </w:rPr>
        <w:t>Erbil</w:t>
      </w:r>
      <w:proofErr w:type="spellEnd"/>
      <w:r w:rsidR="00AC4A22" w:rsidRPr="00E131FB">
        <w:rPr>
          <w:rFonts w:asciiTheme="minorHAnsi" w:hAnsiTheme="minorHAnsi"/>
          <w:sz w:val="18"/>
          <w:szCs w:val="18"/>
        </w:rPr>
        <w:t xml:space="preserve"> a </w:t>
      </w:r>
      <w:r w:rsidR="000B5805" w:rsidRPr="00E131FB">
        <w:rPr>
          <w:rFonts w:asciiTheme="minorHAnsi" w:hAnsiTheme="minorHAnsi"/>
          <w:sz w:val="18"/>
          <w:szCs w:val="18"/>
        </w:rPr>
        <w:t>památky</w:t>
      </w:r>
      <w:r w:rsidR="00AC4A22" w:rsidRPr="00E131FB">
        <w:rPr>
          <w:rFonts w:asciiTheme="minorHAnsi" w:hAnsiTheme="minorHAnsi"/>
          <w:sz w:val="18"/>
          <w:szCs w:val="18"/>
        </w:rPr>
        <w:t xml:space="preserve"> regionu Kurdistán</w:t>
      </w:r>
      <w:r w:rsidRPr="00E131FB">
        <w:rPr>
          <w:rFonts w:asciiTheme="minorHAnsi" w:hAnsiTheme="minorHAnsi"/>
          <w:sz w:val="18"/>
          <w:szCs w:val="18"/>
        </w:rPr>
        <w:t>.</w:t>
      </w:r>
    </w:p>
    <w:p w14:paraId="6DD1BAEF" w14:textId="77777777" w:rsidR="00B64DBB" w:rsidRPr="00E131FB" w:rsidRDefault="00B64DBB" w:rsidP="00B64DBB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18"/>
          <w:szCs w:val="18"/>
        </w:rPr>
      </w:pPr>
    </w:p>
    <w:p w14:paraId="21FD511F" w14:textId="77777777" w:rsidR="00215A79" w:rsidRPr="00E131FB" w:rsidRDefault="0024001E" w:rsidP="0030272F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18"/>
          <w:szCs w:val="18"/>
        </w:rPr>
      </w:pPr>
      <w:r w:rsidRPr="00E131FB">
        <w:rPr>
          <w:rFonts w:asciiTheme="minorHAnsi" w:hAnsiTheme="minorHAnsi"/>
          <w:b/>
          <w:sz w:val="18"/>
          <w:szCs w:val="18"/>
        </w:rPr>
        <w:t>Cena a platební podmínky</w:t>
      </w:r>
    </w:p>
    <w:p w14:paraId="0E1DD421" w14:textId="77777777" w:rsidR="00DC2068" w:rsidRPr="00E131FB" w:rsidRDefault="00DC2068" w:rsidP="00D37F69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>Smluvní strany sjednaly, že c</w:t>
      </w:r>
      <w:r w:rsidR="00560D18" w:rsidRPr="00E131FB">
        <w:rPr>
          <w:rFonts w:asciiTheme="minorHAnsi" w:hAnsiTheme="minorHAnsi"/>
          <w:sz w:val="18"/>
          <w:szCs w:val="18"/>
        </w:rPr>
        <w:t xml:space="preserve">ena </w:t>
      </w:r>
      <w:r w:rsidR="00BA35D0" w:rsidRPr="00E131FB">
        <w:rPr>
          <w:rFonts w:asciiTheme="minorHAnsi" w:hAnsiTheme="minorHAnsi"/>
          <w:sz w:val="18"/>
          <w:szCs w:val="18"/>
        </w:rPr>
        <w:t xml:space="preserve">jednotlivých částí služby dle specifikace v čl. I odst. 1 této smlouvy o dílo je </w:t>
      </w:r>
      <w:r w:rsidR="00225C02" w:rsidRPr="00E131FB">
        <w:rPr>
          <w:rFonts w:asciiTheme="minorHAnsi" w:hAnsiTheme="minorHAnsi"/>
          <w:sz w:val="18"/>
          <w:szCs w:val="18"/>
        </w:rPr>
        <w:t xml:space="preserve">specifikovaná v položkovém rozpočtu, který je nedílnou součástí </w:t>
      </w:r>
      <w:r w:rsidR="00890F7B" w:rsidRPr="00E131FB">
        <w:rPr>
          <w:rFonts w:asciiTheme="minorHAnsi" w:hAnsiTheme="minorHAnsi"/>
          <w:sz w:val="18"/>
          <w:szCs w:val="18"/>
        </w:rPr>
        <w:t xml:space="preserve">této </w:t>
      </w:r>
      <w:r w:rsidR="00225C02" w:rsidRPr="00E131FB">
        <w:rPr>
          <w:rFonts w:asciiTheme="minorHAnsi" w:hAnsiTheme="minorHAnsi"/>
          <w:sz w:val="18"/>
          <w:szCs w:val="18"/>
        </w:rPr>
        <w:t>smlouvy jako příloha č. 1.</w:t>
      </w:r>
    </w:p>
    <w:p w14:paraId="295F9C81" w14:textId="77777777" w:rsidR="002F160D" w:rsidRPr="00E131FB" w:rsidRDefault="00DC2068" w:rsidP="00D37F69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 xml:space="preserve">Celková cena služby a plnění dle této smlouvy činí </w:t>
      </w:r>
      <w:r w:rsidR="00785E2C" w:rsidRPr="00E131FB">
        <w:rPr>
          <w:rFonts w:asciiTheme="minorHAnsi" w:hAnsiTheme="minorHAnsi"/>
          <w:sz w:val="18"/>
          <w:szCs w:val="18"/>
        </w:rPr>
        <w:t>1 960 351,60 Kč</w:t>
      </w:r>
      <w:r w:rsidRPr="00E131FB">
        <w:rPr>
          <w:rFonts w:asciiTheme="minorHAnsi" w:hAnsiTheme="minorHAnsi"/>
          <w:sz w:val="18"/>
          <w:szCs w:val="18"/>
        </w:rPr>
        <w:t xml:space="preserve">. </w:t>
      </w:r>
      <w:r w:rsidR="00EA3D11" w:rsidRPr="00E131FB">
        <w:rPr>
          <w:rFonts w:asciiTheme="minorHAnsi" w:hAnsiTheme="minorHAnsi"/>
          <w:sz w:val="18"/>
          <w:szCs w:val="18"/>
        </w:rPr>
        <w:t xml:space="preserve">Ke smlouvě nebude připočteno DPH, neboť místem plnění je Irák. </w:t>
      </w:r>
      <w:r w:rsidR="0024001E" w:rsidRPr="00E131FB">
        <w:rPr>
          <w:rFonts w:asciiTheme="minorHAnsi" w:hAnsiTheme="minorHAnsi"/>
          <w:sz w:val="18"/>
          <w:szCs w:val="18"/>
        </w:rPr>
        <w:t xml:space="preserve">Sjednaná cena </w:t>
      </w:r>
      <w:r w:rsidR="0093786B" w:rsidRPr="00E131FB">
        <w:rPr>
          <w:rFonts w:asciiTheme="minorHAnsi" w:hAnsiTheme="minorHAnsi"/>
          <w:sz w:val="18"/>
          <w:szCs w:val="18"/>
        </w:rPr>
        <w:t xml:space="preserve">služby </w:t>
      </w:r>
      <w:r w:rsidR="0024001E" w:rsidRPr="00E131FB">
        <w:rPr>
          <w:rFonts w:asciiTheme="minorHAnsi" w:hAnsiTheme="minorHAnsi"/>
          <w:sz w:val="18"/>
          <w:szCs w:val="18"/>
        </w:rPr>
        <w:t>je konečná a nepřekročitel</w:t>
      </w:r>
      <w:r w:rsidR="0093786B" w:rsidRPr="00E131FB">
        <w:rPr>
          <w:rFonts w:asciiTheme="minorHAnsi" w:hAnsiTheme="minorHAnsi"/>
          <w:sz w:val="18"/>
          <w:szCs w:val="18"/>
        </w:rPr>
        <w:t>ná a zahrnuje provedení a poskytnutí</w:t>
      </w:r>
      <w:r w:rsidR="0024001E" w:rsidRPr="00E131FB">
        <w:rPr>
          <w:rFonts w:asciiTheme="minorHAnsi" w:hAnsiTheme="minorHAnsi"/>
          <w:sz w:val="18"/>
          <w:szCs w:val="18"/>
        </w:rPr>
        <w:t xml:space="preserve"> </w:t>
      </w:r>
      <w:r w:rsidR="0093786B" w:rsidRPr="00E131FB">
        <w:rPr>
          <w:rFonts w:asciiTheme="minorHAnsi" w:hAnsiTheme="minorHAnsi"/>
          <w:sz w:val="18"/>
          <w:szCs w:val="18"/>
        </w:rPr>
        <w:t>služby</w:t>
      </w:r>
      <w:r w:rsidR="0024001E" w:rsidRPr="00E131FB">
        <w:rPr>
          <w:rFonts w:asciiTheme="minorHAnsi" w:hAnsiTheme="minorHAnsi"/>
          <w:sz w:val="18"/>
          <w:szCs w:val="18"/>
        </w:rPr>
        <w:t>, jakož i veškeré výlohy, výda</w:t>
      </w:r>
      <w:r w:rsidR="00927490" w:rsidRPr="00E131FB">
        <w:rPr>
          <w:rFonts w:asciiTheme="minorHAnsi" w:hAnsiTheme="minorHAnsi"/>
          <w:sz w:val="18"/>
          <w:szCs w:val="18"/>
        </w:rPr>
        <w:t>je a náklady vzniklé GEMA ART</w:t>
      </w:r>
      <w:r w:rsidR="0024001E" w:rsidRPr="00E131FB">
        <w:rPr>
          <w:rFonts w:asciiTheme="minorHAnsi" w:hAnsiTheme="minorHAnsi"/>
          <w:sz w:val="18"/>
          <w:szCs w:val="18"/>
        </w:rPr>
        <w:t xml:space="preserve"> </w:t>
      </w:r>
      <w:r w:rsidR="00890F7B" w:rsidRPr="00E131FB">
        <w:rPr>
          <w:rFonts w:asciiTheme="minorHAnsi" w:hAnsiTheme="minorHAnsi"/>
          <w:sz w:val="18"/>
          <w:szCs w:val="18"/>
        </w:rPr>
        <w:t>v souvislosti s poskytnutím služby</w:t>
      </w:r>
      <w:r w:rsidR="00225C02" w:rsidRPr="00E131FB">
        <w:rPr>
          <w:rFonts w:asciiTheme="minorHAnsi" w:hAnsiTheme="minorHAnsi"/>
          <w:sz w:val="18"/>
          <w:szCs w:val="18"/>
        </w:rPr>
        <w:t xml:space="preserve">. </w:t>
      </w:r>
      <w:r w:rsidR="0024001E" w:rsidRPr="00E131FB">
        <w:rPr>
          <w:rFonts w:asciiTheme="minorHAnsi" w:hAnsiTheme="minorHAnsi"/>
          <w:sz w:val="18"/>
          <w:szCs w:val="18"/>
        </w:rPr>
        <w:t xml:space="preserve">Změna ceny je možná pouze na základě </w:t>
      </w:r>
      <w:r w:rsidR="00847E69" w:rsidRPr="00E131FB">
        <w:rPr>
          <w:rFonts w:asciiTheme="minorHAnsi" w:hAnsiTheme="minorHAnsi"/>
          <w:sz w:val="18"/>
          <w:szCs w:val="18"/>
        </w:rPr>
        <w:t>písemného dodatku a v souladu s platnými právními předpisy</w:t>
      </w:r>
      <w:r w:rsidR="0024001E" w:rsidRPr="00E131FB">
        <w:rPr>
          <w:rFonts w:asciiTheme="minorHAnsi" w:hAnsiTheme="minorHAnsi"/>
          <w:sz w:val="18"/>
          <w:szCs w:val="18"/>
        </w:rPr>
        <w:t>.</w:t>
      </w:r>
      <w:r w:rsidR="0052278A" w:rsidRPr="00E131FB">
        <w:rPr>
          <w:rFonts w:asciiTheme="minorHAnsi" w:hAnsiTheme="minorHAnsi"/>
          <w:sz w:val="18"/>
          <w:szCs w:val="18"/>
        </w:rPr>
        <w:t xml:space="preserve"> Objednatel neposkytuje zhotoviteli žádné zálohy.</w:t>
      </w:r>
    </w:p>
    <w:p w14:paraId="5403C246" w14:textId="77777777" w:rsidR="00560D18" w:rsidRPr="00E131FB" w:rsidRDefault="00560D18" w:rsidP="00D37F69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 xml:space="preserve">Po řádném </w:t>
      </w:r>
      <w:r w:rsidR="00D87F62" w:rsidRPr="00E131FB">
        <w:rPr>
          <w:rFonts w:asciiTheme="minorHAnsi" w:hAnsiTheme="minorHAnsi"/>
          <w:sz w:val="18"/>
          <w:szCs w:val="18"/>
        </w:rPr>
        <w:t>poskytnutí služby</w:t>
      </w:r>
      <w:r w:rsidRPr="00E131FB">
        <w:rPr>
          <w:rFonts w:asciiTheme="minorHAnsi" w:hAnsiTheme="minorHAnsi"/>
          <w:sz w:val="18"/>
          <w:szCs w:val="18"/>
        </w:rPr>
        <w:t xml:space="preserve"> vystaví </w:t>
      </w:r>
      <w:r w:rsidR="00D87F62" w:rsidRPr="00E131FB">
        <w:rPr>
          <w:rFonts w:asciiTheme="minorHAnsi" w:hAnsiTheme="minorHAnsi"/>
          <w:sz w:val="18"/>
          <w:szCs w:val="18"/>
        </w:rPr>
        <w:t>GEMA ART</w:t>
      </w:r>
      <w:r w:rsidRPr="00E131FB">
        <w:rPr>
          <w:rFonts w:asciiTheme="minorHAnsi" w:hAnsiTheme="minorHAnsi"/>
          <w:sz w:val="18"/>
          <w:szCs w:val="18"/>
        </w:rPr>
        <w:t xml:space="preserve"> na úhradu </w:t>
      </w:r>
      <w:r w:rsidR="00D87F62" w:rsidRPr="00E131FB">
        <w:rPr>
          <w:rFonts w:asciiTheme="minorHAnsi" w:hAnsiTheme="minorHAnsi"/>
          <w:sz w:val="18"/>
          <w:szCs w:val="18"/>
        </w:rPr>
        <w:t xml:space="preserve">služby </w:t>
      </w:r>
      <w:r w:rsidRPr="00E131FB">
        <w:rPr>
          <w:rFonts w:asciiTheme="minorHAnsi" w:hAnsiTheme="minorHAnsi"/>
          <w:sz w:val="18"/>
          <w:szCs w:val="18"/>
        </w:rPr>
        <w:t xml:space="preserve">bez zbytečného odkladu daňový doklad (fakturu) se splatností 21 dní ode dne jejího doručení </w:t>
      </w:r>
      <w:r w:rsidR="00D87F62" w:rsidRPr="00E131FB">
        <w:rPr>
          <w:rFonts w:asciiTheme="minorHAnsi" w:hAnsiTheme="minorHAnsi"/>
          <w:sz w:val="18"/>
          <w:szCs w:val="18"/>
        </w:rPr>
        <w:t>NPÚ</w:t>
      </w:r>
      <w:r w:rsidRPr="00E131FB">
        <w:rPr>
          <w:rFonts w:asciiTheme="minorHAnsi" w:hAnsiTheme="minorHAnsi"/>
          <w:sz w:val="18"/>
          <w:szCs w:val="18"/>
        </w:rPr>
        <w:t>.</w:t>
      </w:r>
    </w:p>
    <w:p w14:paraId="2F40E739" w14:textId="77777777" w:rsidR="001738DB" w:rsidRPr="00E131FB" w:rsidRDefault="00560D18" w:rsidP="00D37F69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 xml:space="preserve">Daňový doklad musí obsahovat všechny náležitosti řádného účetního a daňového dokladu dle příslušných právních předpisů, zejména zákona č. 235/2004 Sb., o dani z přidané hodnoty, ve znění pozdějších předpisů, dále musí splňovat smlouvou </w:t>
      </w:r>
      <w:r w:rsidRPr="00E131FB">
        <w:rPr>
          <w:rFonts w:asciiTheme="minorHAnsi" w:hAnsiTheme="minorHAnsi"/>
          <w:sz w:val="18"/>
          <w:szCs w:val="18"/>
        </w:rPr>
        <w:lastRenderedPageBreak/>
        <w:t xml:space="preserve">stanovené náležitosti, jinak je </w:t>
      </w:r>
      <w:r w:rsidR="00D87F62" w:rsidRPr="00E131FB">
        <w:rPr>
          <w:rFonts w:asciiTheme="minorHAnsi" w:hAnsiTheme="minorHAnsi"/>
          <w:sz w:val="18"/>
          <w:szCs w:val="18"/>
        </w:rPr>
        <w:t>NPÚ</w:t>
      </w:r>
      <w:r w:rsidRPr="00E131FB">
        <w:rPr>
          <w:rFonts w:asciiTheme="minorHAnsi" w:hAnsiTheme="minorHAnsi"/>
          <w:sz w:val="18"/>
          <w:szCs w:val="18"/>
        </w:rPr>
        <w:t xml:space="preserve"> oprávněn jej vrátit s tím, že </w:t>
      </w:r>
      <w:r w:rsidR="00D87F62" w:rsidRPr="00E131FB">
        <w:rPr>
          <w:rFonts w:asciiTheme="minorHAnsi" w:hAnsiTheme="minorHAnsi"/>
          <w:sz w:val="18"/>
          <w:szCs w:val="18"/>
        </w:rPr>
        <w:t>GEMA ART</w:t>
      </w:r>
      <w:r w:rsidRPr="00E131FB">
        <w:rPr>
          <w:rFonts w:asciiTheme="minorHAnsi" w:hAnsiTheme="minorHAnsi"/>
          <w:sz w:val="18"/>
          <w:szCs w:val="18"/>
        </w:rPr>
        <w:t xml:space="preserve"> je poté povinen vystavit nový s novým termínem splatnosti. V takovém případě není </w:t>
      </w:r>
      <w:r w:rsidR="00D87F62" w:rsidRPr="00E131FB">
        <w:rPr>
          <w:rFonts w:asciiTheme="minorHAnsi" w:hAnsiTheme="minorHAnsi"/>
          <w:sz w:val="18"/>
          <w:szCs w:val="18"/>
        </w:rPr>
        <w:t>NPÚ</w:t>
      </w:r>
      <w:r w:rsidRPr="00E131FB">
        <w:rPr>
          <w:rFonts w:asciiTheme="minorHAnsi" w:hAnsiTheme="minorHAnsi"/>
          <w:sz w:val="18"/>
          <w:szCs w:val="18"/>
        </w:rPr>
        <w:t xml:space="preserve"> v prodlení s úhradou.</w:t>
      </w:r>
    </w:p>
    <w:p w14:paraId="67F34FD8" w14:textId="77777777" w:rsidR="001738DB" w:rsidRPr="00E131FB" w:rsidRDefault="00D87F62" w:rsidP="00D37F69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>NPÚ</w:t>
      </w:r>
      <w:r w:rsidR="00560D18" w:rsidRPr="00E131FB">
        <w:rPr>
          <w:rFonts w:asciiTheme="minorHAnsi" w:hAnsiTheme="minorHAnsi"/>
          <w:sz w:val="18"/>
          <w:szCs w:val="18"/>
        </w:rPr>
        <w:t xml:space="preserve"> je oprávněn provést zajišťovací úhradu DPH na účet příslušného finančního úřadu, jestliže se </w:t>
      </w:r>
      <w:r w:rsidR="00D43550" w:rsidRPr="00E131FB">
        <w:rPr>
          <w:rFonts w:asciiTheme="minorHAnsi" w:hAnsiTheme="minorHAnsi"/>
          <w:sz w:val="18"/>
          <w:szCs w:val="18"/>
        </w:rPr>
        <w:t>GEMA ART</w:t>
      </w:r>
      <w:r w:rsidR="00560D18" w:rsidRPr="00E131FB">
        <w:rPr>
          <w:rFonts w:asciiTheme="minorHAnsi" w:hAnsiTheme="minorHAnsi"/>
          <w:sz w:val="18"/>
          <w:szCs w:val="18"/>
        </w:rPr>
        <w:t xml:space="preserve"> stane ke dni uskutečnění zdanitelného plnění nespolehlivým plátcem dle zákona o dani z přidané hodnoty.</w:t>
      </w:r>
    </w:p>
    <w:p w14:paraId="7C4AFF03" w14:textId="07EF3FD5" w:rsidR="001738DB" w:rsidRPr="00E131FB" w:rsidRDefault="00D87F62" w:rsidP="00D37F69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>GEMA ART</w:t>
      </w:r>
      <w:r w:rsidR="00560D18" w:rsidRPr="00E131FB">
        <w:rPr>
          <w:rFonts w:asciiTheme="minorHAnsi" w:hAnsiTheme="minorHAnsi"/>
          <w:sz w:val="18"/>
          <w:szCs w:val="18"/>
        </w:rPr>
        <w:t xml:space="preserve"> prohlašuje, že ke dni podpisu smlouvy není nespolehlivým plátcem DPH dle § 106 zákona č. 235/2004 Sb., o dani z přidané hodnoty, v platném znění, a není vedena v registru nespolehlivých plátců DPH. </w:t>
      </w:r>
      <w:r w:rsidR="00D43550" w:rsidRPr="00E131FB">
        <w:rPr>
          <w:rFonts w:asciiTheme="minorHAnsi" w:hAnsiTheme="minorHAnsi"/>
          <w:sz w:val="18"/>
          <w:szCs w:val="18"/>
        </w:rPr>
        <w:t>GEMA ART</w:t>
      </w:r>
      <w:r w:rsidR="00560D18" w:rsidRPr="00E131FB">
        <w:rPr>
          <w:rFonts w:asciiTheme="minorHAnsi" w:hAnsiTheme="minorHAnsi"/>
          <w:sz w:val="18"/>
          <w:szCs w:val="18"/>
        </w:rPr>
        <w:t xml:space="preserve"> 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 w:rsidRPr="00E131FB">
        <w:rPr>
          <w:rFonts w:asciiTheme="minorHAnsi" w:hAnsiTheme="minorHAnsi"/>
          <w:sz w:val="18"/>
          <w:szCs w:val="18"/>
        </w:rPr>
        <w:t>GEMA ART</w:t>
      </w:r>
      <w:r w:rsidR="00560D18" w:rsidRPr="00E131FB">
        <w:rPr>
          <w:rFonts w:asciiTheme="minorHAnsi" w:hAnsiTheme="minorHAnsi"/>
          <w:sz w:val="18"/>
          <w:szCs w:val="18"/>
        </w:rPr>
        <w:t xml:space="preserve"> stane nespolehlivým plátcem DPH, je povinen tuto skutečnost oznámit </w:t>
      </w:r>
      <w:r w:rsidRPr="00E131FB">
        <w:rPr>
          <w:rFonts w:asciiTheme="minorHAnsi" w:hAnsiTheme="minorHAnsi"/>
          <w:sz w:val="18"/>
          <w:szCs w:val="18"/>
        </w:rPr>
        <w:t xml:space="preserve">NPÚ </w:t>
      </w:r>
      <w:r w:rsidR="00560D18" w:rsidRPr="00E131FB">
        <w:rPr>
          <w:rFonts w:asciiTheme="minorHAnsi" w:hAnsiTheme="minorHAnsi"/>
          <w:sz w:val="18"/>
          <w:szCs w:val="18"/>
        </w:rPr>
        <w:t xml:space="preserve">neprodleně (nejpozději do 3 pracovních dnů ode dne, kdy tato skutečnost nastala) na email </w:t>
      </w:r>
      <w:r w:rsidRPr="00E131FB">
        <w:rPr>
          <w:rFonts w:asciiTheme="minorHAnsi" w:hAnsiTheme="minorHAnsi"/>
          <w:sz w:val="18"/>
          <w:szCs w:val="18"/>
        </w:rPr>
        <w:t xml:space="preserve">NPÚ </w:t>
      </w:r>
      <w:r w:rsidR="00560D18" w:rsidRPr="00E131FB">
        <w:rPr>
          <w:rFonts w:asciiTheme="minorHAnsi" w:hAnsiTheme="minorHAnsi"/>
          <w:sz w:val="18"/>
          <w:szCs w:val="18"/>
        </w:rPr>
        <w:t xml:space="preserve">uvedený v hlavičce této smlouvy. V případě porušení oznamovací povinnosti je </w:t>
      </w:r>
      <w:r w:rsidRPr="00E131FB">
        <w:rPr>
          <w:rFonts w:asciiTheme="minorHAnsi" w:hAnsiTheme="minorHAnsi"/>
          <w:sz w:val="18"/>
          <w:szCs w:val="18"/>
        </w:rPr>
        <w:t>GEMA ART</w:t>
      </w:r>
      <w:r w:rsidR="00560D18" w:rsidRPr="00E131FB">
        <w:rPr>
          <w:rFonts w:asciiTheme="minorHAnsi" w:hAnsiTheme="minorHAnsi"/>
          <w:sz w:val="18"/>
          <w:szCs w:val="18"/>
        </w:rPr>
        <w:t xml:space="preserve"> povinen uhradit </w:t>
      </w:r>
      <w:r w:rsidRPr="00E131FB">
        <w:rPr>
          <w:rFonts w:asciiTheme="minorHAnsi" w:hAnsiTheme="minorHAnsi"/>
          <w:sz w:val="18"/>
          <w:szCs w:val="18"/>
        </w:rPr>
        <w:t>NPÚ</w:t>
      </w:r>
      <w:r w:rsidR="00560D18" w:rsidRPr="00E131FB">
        <w:rPr>
          <w:rFonts w:asciiTheme="minorHAnsi" w:hAnsiTheme="minorHAnsi"/>
          <w:sz w:val="18"/>
          <w:szCs w:val="18"/>
        </w:rPr>
        <w:t xml:space="preserve"> jednorázovou smluvní pokutu ve výši částky odpovídající výši DPH</w:t>
      </w:r>
      <w:r w:rsidRPr="00E131FB">
        <w:rPr>
          <w:rFonts w:asciiTheme="minorHAnsi" w:hAnsiTheme="minorHAnsi"/>
          <w:sz w:val="18"/>
          <w:szCs w:val="18"/>
        </w:rPr>
        <w:t xml:space="preserve"> připočtené k celkové ceně </w:t>
      </w:r>
      <w:r w:rsidR="00D43550" w:rsidRPr="00E131FB">
        <w:rPr>
          <w:rFonts w:asciiTheme="minorHAnsi" w:hAnsiTheme="minorHAnsi"/>
          <w:sz w:val="18"/>
          <w:szCs w:val="18"/>
        </w:rPr>
        <w:t>služby</w:t>
      </w:r>
      <w:r w:rsidR="00560D18" w:rsidRPr="00E131FB">
        <w:rPr>
          <w:rFonts w:asciiTheme="minorHAnsi" w:hAnsiTheme="minorHAnsi"/>
          <w:sz w:val="18"/>
          <w:szCs w:val="18"/>
        </w:rPr>
        <w:t xml:space="preserve">. </w:t>
      </w:r>
    </w:p>
    <w:p w14:paraId="5FABAFF4" w14:textId="265862A4" w:rsidR="00857790" w:rsidRPr="00E131FB" w:rsidRDefault="00857790" w:rsidP="00857790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18"/>
          <w:szCs w:val="18"/>
        </w:rPr>
      </w:pPr>
      <w:bookmarkStart w:id="0" w:name="_Hlk78903306"/>
      <w:r w:rsidRPr="00E131FB">
        <w:rPr>
          <w:rFonts w:asciiTheme="minorHAnsi" w:hAnsiTheme="minorHAnsi"/>
          <w:sz w:val="18"/>
          <w:szCs w:val="18"/>
        </w:rPr>
        <w:t xml:space="preserve">Smluvní strany jsou si vědomy existence pandemie </w:t>
      </w:r>
      <w:proofErr w:type="spellStart"/>
      <w:r w:rsidRPr="00E131FB">
        <w:rPr>
          <w:rFonts w:asciiTheme="minorHAnsi" w:hAnsiTheme="minorHAnsi"/>
          <w:sz w:val="18"/>
          <w:szCs w:val="18"/>
        </w:rPr>
        <w:t>koronaviru</w:t>
      </w:r>
      <w:proofErr w:type="spellEnd"/>
      <w:r w:rsidRPr="00E131FB">
        <w:rPr>
          <w:rFonts w:asciiTheme="minorHAnsi" w:hAnsiTheme="minorHAnsi"/>
          <w:sz w:val="18"/>
          <w:szCs w:val="18"/>
        </w:rPr>
        <w:t xml:space="preserve"> (covid-19) a předpokládají, že v době sjednané pro realizaci plnění dle této smlouvy tato pandemie nebude bránit v plnění závazků z této smlouvy. Pokud však v důsledku pandemie </w:t>
      </w:r>
      <w:proofErr w:type="spellStart"/>
      <w:r w:rsidRPr="00E131FB">
        <w:rPr>
          <w:rFonts w:asciiTheme="minorHAnsi" w:hAnsiTheme="minorHAnsi"/>
          <w:sz w:val="18"/>
          <w:szCs w:val="18"/>
        </w:rPr>
        <w:t>koronaviru</w:t>
      </w:r>
      <w:proofErr w:type="spellEnd"/>
      <w:r w:rsidRPr="00E131FB">
        <w:rPr>
          <w:rFonts w:asciiTheme="minorHAnsi" w:hAnsiTheme="minorHAnsi"/>
          <w:sz w:val="18"/>
          <w:szCs w:val="18"/>
        </w:rPr>
        <w:t xml:space="preserve"> dojde k omezením, které budou bránit smluvním stranám v plnění této smlouvy (např. karanténní opatření,</w:t>
      </w:r>
      <w:r w:rsidRPr="00E131FB">
        <w:t xml:space="preserve"> </w:t>
      </w:r>
      <w:r w:rsidRPr="00E131FB">
        <w:rPr>
          <w:rFonts w:asciiTheme="minorHAnsi" w:hAnsiTheme="minorHAnsi"/>
          <w:sz w:val="18"/>
          <w:szCs w:val="18"/>
        </w:rPr>
        <w:t xml:space="preserve">nařízení ústředních orgánů státní správy České republiky, Ministerstva zdravotnictví Kurdské regionální vlády, či jiné vyšší autority přijatých k zamezení šíření </w:t>
      </w:r>
      <w:proofErr w:type="spellStart"/>
      <w:r w:rsidRPr="00E131FB">
        <w:rPr>
          <w:rFonts w:asciiTheme="minorHAnsi" w:hAnsiTheme="minorHAnsi"/>
          <w:sz w:val="18"/>
          <w:szCs w:val="18"/>
        </w:rPr>
        <w:t>koronaviru</w:t>
      </w:r>
      <w:proofErr w:type="spellEnd"/>
      <w:r w:rsidRPr="00E131FB">
        <w:rPr>
          <w:rFonts w:asciiTheme="minorHAnsi" w:hAnsiTheme="minorHAnsi"/>
          <w:sz w:val="18"/>
          <w:szCs w:val="18"/>
        </w:rPr>
        <w:t>), dohodly se smluvní strany, že i tento případ bude představovat tzv. vyšší moc.</w:t>
      </w:r>
    </w:p>
    <w:p w14:paraId="588A195A" w14:textId="7A55259E" w:rsidR="00857790" w:rsidRPr="00E131FB" w:rsidRDefault="00857790" w:rsidP="00857790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>Jestliže je zřejmé, že v důsledku událostí, uvedených v tomto článku a tedy z důvodu vyšší moci, některá ze smluvních stran nebude schopna splnit své povinnosti dle této smlouvy ve smluveném termínu, pak o tom bezodkladně uvědomí druhou smluvní stranu. Strany se bez zbytečného odkladu dohodnou na řešení této situace a dohodnou další postup formou dodatku k této smlouvě. Strany výslovně sjednávají, že nejsou v prodlení s plněním svých povinností dle této smlouvy po dobu výskytu vyšší moci. Nastane-li případ vyšší moci, pak strana, která uplatňuje nároky z důvodu vyšší moci, předloží druhé straně doklady, týkající se tohoto případu.</w:t>
      </w:r>
    </w:p>
    <w:p w14:paraId="44FB793F" w14:textId="62DC41A6" w:rsidR="00857790" w:rsidRPr="00E131FB" w:rsidRDefault="000A2583" w:rsidP="00857790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 xml:space="preserve">Pokud v důsledku pandemie </w:t>
      </w:r>
      <w:proofErr w:type="spellStart"/>
      <w:r w:rsidRPr="00E131FB">
        <w:rPr>
          <w:rFonts w:asciiTheme="minorHAnsi" w:hAnsiTheme="minorHAnsi"/>
          <w:sz w:val="18"/>
          <w:szCs w:val="18"/>
        </w:rPr>
        <w:t>koronaviru</w:t>
      </w:r>
      <w:proofErr w:type="spellEnd"/>
      <w:r w:rsidRPr="00E131FB">
        <w:rPr>
          <w:rFonts w:asciiTheme="minorHAnsi" w:hAnsiTheme="minorHAnsi"/>
          <w:sz w:val="18"/>
          <w:szCs w:val="18"/>
        </w:rPr>
        <w:t xml:space="preserve"> dojde k takovým omezením, která budou bránit GEMA ART v plnění této smlouvy ať již zcela nebo částečně</w:t>
      </w:r>
      <w:r w:rsidR="00857790" w:rsidRPr="00E131FB">
        <w:rPr>
          <w:rFonts w:asciiTheme="minorHAnsi" w:hAnsiTheme="minorHAnsi"/>
          <w:sz w:val="18"/>
          <w:szCs w:val="18"/>
        </w:rPr>
        <w:t xml:space="preserve">, uhradí NPÚ společnosti GEMA ART </w:t>
      </w:r>
      <w:r w:rsidRPr="00E131FB">
        <w:rPr>
          <w:rFonts w:asciiTheme="minorHAnsi" w:hAnsiTheme="minorHAnsi"/>
          <w:sz w:val="18"/>
          <w:szCs w:val="18"/>
        </w:rPr>
        <w:t xml:space="preserve">již </w:t>
      </w:r>
      <w:r w:rsidR="00857790" w:rsidRPr="00E131FB">
        <w:rPr>
          <w:rFonts w:asciiTheme="minorHAnsi" w:hAnsiTheme="minorHAnsi"/>
          <w:sz w:val="18"/>
          <w:szCs w:val="18"/>
        </w:rPr>
        <w:t>prokazatelně vzniklé náklady spojené s</w:t>
      </w:r>
      <w:r w:rsidRPr="00E131FB">
        <w:rPr>
          <w:rFonts w:asciiTheme="minorHAnsi" w:hAnsiTheme="minorHAnsi"/>
          <w:sz w:val="18"/>
          <w:szCs w:val="18"/>
        </w:rPr>
        <w:t xml:space="preserve"> přípravou plnění a </w:t>
      </w:r>
      <w:r w:rsidR="00857790" w:rsidRPr="00E131FB">
        <w:rPr>
          <w:rFonts w:asciiTheme="minorHAnsi" w:hAnsiTheme="minorHAnsi"/>
          <w:sz w:val="18"/>
          <w:szCs w:val="18"/>
        </w:rPr>
        <w:t>poskytnutím služby dle této smlouvy, avšak maximálně do výše 30% celkové ceny bez DPH dle Přílohy č. 2 smlouvy.</w:t>
      </w:r>
    </w:p>
    <w:bookmarkEnd w:id="0"/>
    <w:p w14:paraId="21A86A39" w14:textId="77777777" w:rsidR="00DD623A" w:rsidRPr="00E131FB" w:rsidRDefault="008B79AB" w:rsidP="0030272F">
      <w:pPr>
        <w:numPr>
          <w:ilvl w:val="0"/>
          <w:numId w:val="3"/>
        </w:numPr>
        <w:jc w:val="center"/>
        <w:rPr>
          <w:rFonts w:asciiTheme="minorHAnsi" w:hAnsiTheme="minorHAnsi"/>
          <w:b/>
          <w:sz w:val="18"/>
          <w:szCs w:val="18"/>
        </w:rPr>
      </w:pPr>
      <w:r w:rsidRPr="00E131FB">
        <w:rPr>
          <w:rFonts w:asciiTheme="minorHAnsi" w:hAnsiTheme="minorHAnsi"/>
          <w:b/>
          <w:sz w:val="18"/>
          <w:szCs w:val="18"/>
        </w:rPr>
        <w:t>Společná a závěrečná ustanovení</w:t>
      </w:r>
    </w:p>
    <w:p w14:paraId="54FFD157" w14:textId="60510455" w:rsidR="00D43550" w:rsidRPr="00E131FB" w:rsidRDefault="00E25B49" w:rsidP="00D435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 xml:space="preserve">Pověřenou osobou k jednání ohledně realizace této smlouvy je za </w:t>
      </w:r>
      <w:proofErr w:type="gramStart"/>
      <w:r w:rsidRPr="00E131FB">
        <w:rPr>
          <w:rFonts w:asciiTheme="minorHAnsi" w:hAnsiTheme="minorHAnsi"/>
          <w:sz w:val="18"/>
          <w:szCs w:val="18"/>
        </w:rPr>
        <w:t>GEMA</w:t>
      </w:r>
      <w:proofErr w:type="gramEnd"/>
      <w:r w:rsidRPr="00E131FB">
        <w:rPr>
          <w:rFonts w:asciiTheme="minorHAnsi" w:hAnsiTheme="minorHAnsi"/>
          <w:sz w:val="18"/>
          <w:szCs w:val="18"/>
        </w:rPr>
        <w:t xml:space="preserve"> ART: </w:t>
      </w:r>
      <w:proofErr w:type="spellStart"/>
      <w:r w:rsidR="005041E8">
        <w:rPr>
          <w:rFonts w:asciiTheme="minorHAnsi" w:hAnsiTheme="minorHAnsi"/>
          <w:sz w:val="18"/>
          <w:szCs w:val="18"/>
        </w:rPr>
        <w:t>xxx</w:t>
      </w:r>
      <w:proofErr w:type="spellEnd"/>
      <w:r w:rsidRPr="00E131FB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E131FB">
        <w:rPr>
          <w:rFonts w:asciiTheme="minorHAnsi" w:hAnsiTheme="minorHAnsi"/>
          <w:sz w:val="18"/>
          <w:szCs w:val="18"/>
        </w:rPr>
        <w:t>tlf</w:t>
      </w:r>
      <w:proofErr w:type="spellEnd"/>
      <w:r w:rsidRPr="00E131FB">
        <w:rPr>
          <w:rFonts w:asciiTheme="minorHAnsi" w:hAnsiTheme="minorHAnsi"/>
          <w:sz w:val="18"/>
          <w:szCs w:val="18"/>
        </w:rPr>
        <w:t xml:space="preserve">. </w:t>
      </w:r>
      <w:r w:rsidR="00522F63" w:rsidRPr="00E131FB">
        <w:rPr>
          <w:rFonts w:asciiTheme="minorHAnsi" w:hAnsiTheme="minorHAnsi"/>
          <w:sz w:val="18"/>
          <w:szCs w:val="18"/>
        </w:rPr>
        <w:t>+420</w:t>
      </w:r>
      <w:r w:rsidR="00ED7EC5" w:rsidRPr="00E131FB">
        <w:rPr>
          <w:rFonts w:asciiTheme="minorHAnsi" w:hAnsiTheme="minorHAnsi"/>
          <w:sz w:val="18"/>
          <w:szCs w:val="18"/>
        </w:rPr>
        <w:t> </w:t>
      </w:r>
      <w:proofErr w:type="spellStart"/>
      <w:r w:rsidR="005041E8">
        <w:rPr>
          <w:rFonts w:asciiTheme="minorHAnsi" w:hAnsiTheme="minorHAnsi"/>
          <w:sz w:val="18"/>
          <w:szCs w:val="18"/>
        </w:rPr>
        <w:t>xxx</w:t>
      </w:r>
      <w:proofErr w:type="spellEnd"/>
      <w:r w:rsidR="00ED7EC5" w:rsidRPr="00E131FB">
        <w:rPr>
          <w:rFonts w:asciiTheme="minorHAnsi" w:hAnsiTheme="minorHAnsi"/>
          <w:sz w:val="18"/>
          <w:szCs w:val="18"/>
        </w:rPr>
        <w:t xml:space="preserve">; </w:t>
      </w:r>
      <w:r w:rsidR="00225C02" w:rsidRPr="00E131FB">
        <w:rPr>
          <w:rFonts w:asciiTheme="minorHAnsi" w:hAnsiTheme="minorHAnsi"/>
          <w:sz w:val="18"/>
          <w:szCs w:val="18"/>
        </w:rPr>
        <w:t>+420 </w:t>
      </w:r>
      <w:proofErr w:type="spellStart"/>
      <w:r w:rsidR="005041E8">
        <w:rPr>
          <w:rFonts w:asciiTheme="minorHAnsi" w:hAnsiTheme="minorHAnsi"/>
          <w:sz w:val="18"/>
          <w:szCs w:val="18"/>
        </w:rPr>
        <w:t>xxx</w:t>
      </w:r>
      <w:proofErr w:type="spellEnd"/>
      <w:r w:rsidRPr="00E131FB">
        <w:rPr>
          <w:rFonts w:asciiTheme="minorHAnsi" w:hAnsiTheme="minorHAnsi"/>
          <w:sz w:val="18"/>
          <w:szCs w:val="18"/>
        </w:rPr>
        <w:t xml:space="preserve"> e-mail: </w:t>
      </w:r>
      <w:proofErr w:type="spellStart"/>
      <w:r w:rsidR="005041E8" w:rsidRPr="005041E8">
        <w:rPr>
          <w:rFonts w:asciiTheme="minorHAnsi" w:hAnsiTheme="minorHAnsi" w:cstheme="minorHAnsi"/>
          <w:sz w:val="18"/>
          <w:szCs w:val="18"/>
        </w:rPr>
        <w:t>xxx</w:t>
      </w:r>
      <w:proofErr w:type="spellEnd"/>
    </w:p>
    <w:p w14:paraId="750EDF21" w14:textId="51E4D90F" w:rsidR="00E25B49" w:rsidRPr="00E131FB" w:rsidRDefault="00E25B49" w:rsidP="00E25B49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 xml:space="preserve">Pověřenou osobou k jednání ohledně realizace této smlouvy je za NPÚ: </w:t>
      </w:r>
      <w:proofErr w:type="spellStart"/>
      <w:r w:rsidR="005041E8">
        <w:rPr>
          <w:rFonts w:asciiTheme="minorHAnsi" w:hAnsiTheme="minorHAnsi"/>
          <w:sz w:val="18"/>
          <w:szCs w:val="18"/>
        </w:rPr>
        <w:t>xxx</w:t>
      </w:r>
      <w:proofErr w:type="spellEnd"/>
      <w:r w:rsidRPr="00E131FB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E131FB">
        <w:rPr>
          <w:rFonts w:asciiTheme="minorHAnsi" w:hAnsiTheme="minorHAnsi"/>
          <w:sz w:val="18"/>
          <w:szCs w:val="18"/>
        </w:rPr>
        <w:t>tlf</w:t>
      </w:r>
      <w:proofErr w:type="spellEnd"/>
      <w:r w:rsidRPr="00E131FB">
        <w:rPr>
          <w:rFonts w:asciiTheme="minorHAnsi" w:hAnsiTheme="minorHAnsi"/>
          <w:sz w:val="18"/>
          <w:szCs w:val="18"/>
        </w:rPr>
        <w:t xml:space="preserve">. </w:t>
      </w:r>
      <w:r w:rsidR="00D43550" w:rsidRPr="00E131FB">
        <w:rPr>
          <w:rFonts w:asciiTheme="minorHAnsi" w:hAnsiTheme="minorHAnsi"/>
          <w:color w:val="000000"/>
          <w:sz w:val="18"/>
          <w:szCs w:val="18"/>
          <w:lang w:eastAsia="cs-CZ"/>
        </w:rPr>
        <w:t xml:space="preserve">+420 </w:t>
      </w:r>
      <w:proofErr w:type="spellStart"/>
      <w:r w:rsidR="005041E8">
        <w:rPr>
          <w:rFonts w:asciiTheme="minorHAnsi" w:hAnsiTheme="minorHAnsi"/>
          <w:color w:val="000000"/>
          <w:sz w:val="18"/>
          <w:szCs w:val="18"/>
          <w:lang w:eastAsia="cs-CZ"/>
        </w:rPr>
        <w:t>xxx</w:t>
      </w:r>
      <w:proofErr w:type="spellEnd"/>
      <w:r w:rsidR="00D43550" w:rsidRPr="00E131FB">
        <w:rPr>
          <w:rFonts w:asciiTheme="minorHAnsi" w:hAnsiTheme="minorHAnsi"/>
          <w:color w:val="000000"/>
          <w:sz w:val="18"/>
          <w:szCs w:val="18"/>
          <w:lang w:eastAsia="cs-CZ"/>
        </w:rPr>
        <w:t>, +420 </w:t>
      </w:r>
      <w:proofErr w:type="spellStart"/>
      <w:r w:rsidR="005041E8">
        <w:rPr>
          <w:rFonts w:asciiTheme="minorHAnsi" w:hAnsiTheme="minorHAnsi"/>
          <w:color w:val="000000"/>
          <w:sz w:val="18"/>
          <w:szCs w:val="18"/>
          <w:lang w:eastAsia="cs-CZ"/>
        </w:rPr>
        <w:t>xxx</w:t>
      </w:r>
      <w:proofErr w:type="spellEnd"/>
      <w:r w:rsidR="00D43550" w:rsidRPr="00E131FB">
        <w:rPr>
          <w:rFonts w:asciiTheme="minorHAnsi" w:hAnsiTheme="minorHAnsi"/>
          <w:color w:val="000000"/>
          <w:sz w:val="18"/>
          <w:szCs w:val="18"/>
          <w:lang w:eastAsia="cs-CZ"/>
        </w:rPr>
        <w:t>,</w:t>
      </w:r>
      <w:r w:rsidRPr="00E131FB">
        <w:rPr>
          <w:rFonts w:asciiTheme="minorHAnsi" w:hAnsiTheme="minorHAnsi"/>
          <w:sz w:val="18"/>
          <w:szCs w:val="18"/>
        </w:rPr>
        <w:t xml:space="preserve"> e-mail: </w:t>
      </w:r>
      <w:proofErr w:type="spellStart"/>
      <w:r w:rsidR="005041E8" w:rsidRPr="005041E8">
        <w:rPr>
          <w:rFonts w:asciiTheme="minorHAnsi" w:hAnsiTheme="minorHAnsi"/>
          <w:sz w:val="18"/>
          <w:szCs w:val="18"/>
          <w:lang w:eastAsia="cs-CZ"/>
        </w:rPr>
        <w:t>xxx</w:t>
      </w:r>
      <w:proofErr w:type="spellEnd"/>
      <w:r w:rsidR="00D43550" w:rsidRPr="00E131FB">
        <w:rPr>
          <w:rFonts w:asciiTheme="minorHAnsi" w:hAnsiTheme="minorHAnsi"/>
          <w:sz w:val="18"/>
          <w:szCs w:val="18"/>
          <w:lang w:eastAsia="cs-CZ"/>
        </w:rPr>
        <w:t>.</w:t>
      </w:r>
    </w:p>
    <w:p w14:paraId="5692DDBD" w14:textId="77777777" w:rsidR="00C56250" w:rsidRPr="00E131FB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/>
          <w:sz w:val="18"/>
          <w:szCs w:val="18"/>
        </w:rPr>
        <w:t>Tato smlouva byla sepsána ve dvou vyhotoveních. Každá ze smluvních stran obdržela po jednom totožném vyhotovení.</w:t>
      </w:r>
    </w:p>
    <w:p w14:paraId="5B51731A" w14:textId="77777777" w:rsidR="00DC3F88" w:rsidRPr="00E131FB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18"/>
          <w:szCs w:val="18"/>
        </w:rPr>
      </w:pPr>
      <w:r w:rsidRPr="00E131FB">
        <w:rPr>
          <w:rFonts w:asciiTheme="minorHAnsi" w:hAnsiTheme="minorHAnsi" w:cs="Calibri"/>
          <w:color w:val="000000"/>
          <w:sz w:val="18"/>
          <w:szCs w:val="18"/>
        </w:rPr>
        <w:t>Tato smlouva nabývá platnosti a účinnosti dnem podpisu oběma smluvními stranami.</w:t>
      </w:r>
    </w:p>
    <w:p w14:paraId="5EB9854F" w14:textId="77777777" w:rsidR="00C56250" w:rsidRPr="00E131FB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18"/>
          <w:szCs w:val="18"/>
        </w:rPr>
      </w:pPr>
      <w:r w:rsidRPr="00E131FB">
        <w:rPr>
          <w:rFonts w:asciiTheme="minorHAnsi" w:hAnsiTheme="minorHAnsi"/>
          <w:color w:val="000000"/>
          <w:sz w:val="18"/>
          <w:szCs w:val="18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0E3C11E0" w14:textId="77777777" w:rsidR="00C56250" w:rsidRPr="00E131FB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18"/>
          <w:szCs w:val="18"/>
        </w:rPr>
      </w:pPr>
      <w:r w:rsidRPr="00E131FB">
        <w:rPr>
          <w:rFonts w:asciiTheme="minorHAnsi" w:hAnsiTheme="minorHAnsi"/>
          <w:color w:val="000000"/>
          <w:sz w:val="18"/>
          <w:szCs w:val="18"/>
        </w:rPr>
        <w:t xml:space="preserve">Smlouvu je možno měnit či doplňovat výhradně písemnými číslovanými dodatky. </w:t>
      </w:r>
    </w:p>
    <w:p w14:paraId="3186809D" w14:textId="77777777" w:rsidR="003F2CCA" w:rsidRPr="00E131FB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18"/>
          <w:szCs w:val="18"/>
        </w:rPr>
      </w:pPr>
      <w:r w:rsidRPr="00E131FB">
        <w:rPr>
          <w:rFonts w:asciiTheme="minorHAnsi" w:hAnsiTheme="minorHAnsi"/>
          <w:color w:val="000000"/>
          <w:sz w:val="18"/>
          <w:szCs w:val="18"/>
        </w:rPr>
        <w:t>Smluvní strany prohlašují, že tuto smlouvu uzavřely podle své pravé a svobodné vůle prosté omylů, nikoliv v tísni a že vzájemné plnění dle této</w:t>
      </w:r>
      <w:r w:rsidR="003F2CCA" w:rsidRPr="00E131FB">
        <w:rPr>
          <w:rFonts w:asciiTheme="minorHAnsi" w:hAnsiTheme="minorHAnsi"/>
          <w:color w:val="000000"/>
          <w:sz w:val="18"/>
          <w:szCs w:val="18"/>
        </w:rPr>
        <w:t xml:space="preserve"> smlouvy.</w:t>
      </w:r>
    </w:p>
    <w:p w14:paraId="1000D065" w14:textId="0D9A7E08" w:rsidR="005B551D" w:rsidRPr="00E131FB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18"/>
          <w:szCs w:val="18"/>
        </w:rPr>
      </w:pPr>
      <w:r w:rsidRPr="00E131FB">
        <w:rPr>
          <w:rFonts w:asciiTheme="minorHAnsi" w:hAnsiTheme="minorHAnsi"/>
          <w:color w:val="000000"/>
          <w:sz w:val="18"/>
          <w:szCs w:val="18"/>
        </w:rPr>
        <w:t xml:space="preserve">Informace k ochraně osobních údajů jsou ze strany NPÚ uveřejněny na webových stránkách </w:t>
      </w:r>
      <w:hyperlink r:id="rId13" w:history="1">
        <w:r w:rsidR="005041E8" w:rsidRPr="007C13AD">
          <w:rPr>
            <w:rStyle w:val="Hypertextovodkaz"/>
            <w:rFonts w:asciiTheme="minorHAnsi" w:hAnsiTheme="minorHAnsi"/>
            <w:sz w:val="18"/>
            <w:szCs w:val="18"/>
          </w:rPr>
          <w:t>www.npu.cz</w:t>
        </w:r>
      </w:hyperlink>
      <w:r w:rsidRPr="00E131FB">
        <w:rPr>
          <w:rFonts w:asciiTheme="minorHAnsi" w:hAnsiTheme="minorHAnsi"/>
          <w:color w:val="000000"/>
          <w:sz w:val="18"/>
          <w:szCs w:val="18"/>
        </w:rPr>
        <w:t xml:space="preserve"> v sekci „Ochrana osobních údajů“.</w:t>
      </w:r>
    </w:p>
    <w:p w14:paraId="0A475F81" w14:textId="77777777" w:rsidR="00176D01" w:rsidRPr="00E131FB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18"/>
          <w:szCs w:val="18"/>
        </w:rPr>
      </w:pPr>
    </w:p>
    <w:p w14:paraId="6F277CCD" w14:textId="77777777" w:rsidR="00522F63" w:rsidRPr="00E131FB" w:rsidRDefault="00D87F62" w:rsidP="003F2CCA">
      <w:pPr>
        <w:widowControl w:val="0"/>
        <w:suppressAutoHyphens/>
        <w:rPr>
          <w:rFonts w:asciiTheme="minorHAnsi" w:hAnsiTheme="minorHAnsi"/>
          <w:color w:val="000000"/>
          <w:sz w:val="18"/>
          <w:szCs w:val="18"/>
        </w:rPr>
      </w:pPr>
      <w:r w:rsidRPr="00E131FB">
        <w:rPr>
          <w:rFonts w:asciiTheme="minorHAnsi" w:hAnsiTheme="minorHAnsi"/>
          <w:color w:val="000000"/>
          <w:sz w:val="18"/>
          <w:szCs w:val="18"/>
        </w:rPr>
        <w:t>Příloha</w:t>
      </w:r>
      <w:r w:rsidR="00DE0D45" w:rsidRPr="00E131FB">
        <w:rPr>
          <w:rFonts w:asciiTheme="minorHAnsi" w:hAnsiTheme="minorHAnsi"/>
          <w:color w:val="000000"/>
          <w:sz w:val="18"/>
          <w:szCs w:val="18"/>
        </w:rPr>
        <w:t xml:space="preserve"> č. 1: </w:t>
      </w:r>
      <w:r w:rsidR="00522F63" w:rsidRPr="00E131FB">
        <w:rPr>
          <w:rFonts w:asciiTheme="minorHAnsi" w:hAnsiTheme="minorHAnsi"/>
          <w:color w:val="000000"/>
          <w:sz w:val="18"/>
          <w:szCs w:val="18"/>
        </w:rPr>
        <w:t>Položkový rozpočet služeb</w:t>
      </w:r>
    </w:p>
    <w:p w14:paraId="58EBB35E" w14:textId="77777777" w:rsidR="00DD6CBD" w:rsidRPr="00E131FB" w:rsidRDefault="00522F63" w:rsidP="003F2CCA">
      <w:pPr>
        <w:widowControl w:val="0"/>
        <w:suppressAutoHyphens/>
        <w:rPr>
          <w:rFonts w:asciiTheme="minorHAnsi" w:hAnsiTheme="minorHAnsi"/>
          <w:color w:val="000000"/>
          <w:sz w:val="18"/>
          <w:szCs w:val="18"/>
        </w:rPr>
      </w:pPr>
      <w:r w:rsidRPr="00E131FB">
        <w:rPr>
          <w:rFonts w:asciiTheme="minorHAnsi" w:hAnsiTheme="minorHAnsi"/>
          <w:color w:val="000000"/>
          <w:sz w:val="18"/>
          <w:szCs w:val="18"/>
        </w:rPr>
        <w:t xml:space="preserve">Příloha č. 2: </w:t>
      </w:r>
      <w:r w:rsidR="00DE0D45" w:rsidRPr="00E131FB">
        <w:rPr>
          <w:rFonts w:asciiTheme="minorHAnsi" w:hAnsiTheme="minorHAnsi"/>
          <w:color w:val="000000"/>
          <w:sz w:val="18"/>
          <w:szCs w:val="18"/>
        </w:rPr>
        <w:t>Obsahová náplň Projektu</w:t>
      </w:r>
    </w:p>
    <w:p w14:paraId="654CF064" w14:textId="77777777" w:rsidR="00DD6CBD" w:rsidRPr="00E131FB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18"/>
          <w:szCs w:val="18"/>
        </w:rPr>
      </w:pPr>
    </w:p>
    <w:p w14:paraId="53AF24F6" w14:textId="77777777" w:rsidR="00C56250" w:rsidRPr="00E131FB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083C70" w14:paraId="211A0843" w14:textId="77777777" w:rsidTr="00C233EE">
        <w:trPr>
          <w:jc w:val="center"/>
        </w:trPr>
        <w:tc>
          <w:tcPr>
            <w:tcW w:w="4606" w:type="dxa"/>
          </w:tcPr>
          <w:p w14:paraId="0129DC25" w14:textId="77777777" w:rsidR="00C56250" w:rsidRPr="00E131FB" w:rsidRDefault="00C56250" w:rsidP="00C233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31FB">
              <w:rPr>
                <w:rFonts w:asciiTheme="minorHAnsi" w:hAnsiTheme="minorHAnsi"/>
                <w:sz w:val="18"/>
                <w:szCs w:val="18"/>
              </w:rPr>
              <w:t xml:space="preserve">V </w:t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31F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131FB">
              <w:rPr>
                <w:rFonts w:asciiTheme="minorHAnsi" w:hAnsiTheme="minorHAnsi"/>
                <w:sz w:val="18"/>
                <w:szCs w:val="18"/>
              </w:rPr>
              <w:t xml:space="preserve">, dne </w:t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31F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3DEF24B3" w14:textId="77777777" w:rsidR="00C56250" w:rsidRPr="00E131FB" w:rsidRDefault="00C56250" w:rsidP="00C233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A5FB5C8" w14:textId="77777777" w:rsidR="00C56250" w:rsidRPr="00E131FB" w:rsidRDefault="00C56250" w:rsidP="00C233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4CD74EC" w14:textId="77777777" w:rsidR="00C56250" w:rsidRPr="00E131FB" w:rsidRDefault="00C56250" w:rsidP="00C233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31FB">
              <w:rPr>
                <w:rFonts w:asciiTheme="minorHAnsi" w:hAnsiTheme="minorHAnsi"/>
                <w:sz w:val="18"/>
                <w:szCs w:val="18"/>
              </w:rPr>
              <w:t>…………………………………………..</w:t>
            </w:r>
          </w:p>
          <w:p w14:paraId="390B7593" w14:textId="77777777" w:rsidR="00C56250" w:rsidRPr="00E131FB" w:rsidRDefault="00D43550" w:rsidP="00C233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31FB">
              <w:rPr>
                <w:rFonts w:asciiTheme="minorHAnsi" w:hAnsiTheme="minorHAnsi"/>
                <w:sz w:val="18"/>
                <w:szCs w:val="18"/>
              </w:rPr>
              <w:t>Ing. arch. Naděžda Goryczková</w:t>
            </w:r>
          </w:p>
          <w:p w14:paraId="07AA5B34" w14:textId="77777777" w:rsidR="00D43550" w:rsidRPr="00E131FB" w:rsidRDefault="00D43550" w:rsidP="00C233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31FB">
              <w:rPr>
                <w:rFonts w:asciiTheme="minorHAnsi" w:hAnsiTheme="minorHAnsi"/>
                <w:sz w:val="18"/>
                <w:szCs w:val="18"/>
              </w:rPr>
              <w:t>Národní památkový ústav</w:t>
            </w:r>
          </w:p>
        </w:tc>
        <w:tc>
          <w:tcPr>
            <w:tcW w:w="4606" w:type="dxa"/>
          </w:tcPr>
          <w:p w14:paraId="2D79825A" w14:textId="77777777" w:rsidR="00C56250" w:rsidRPr="00E131FB" w:rsidRDefault="00C56250" w:rsidP="00C233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31FB">
              <w:rPr>
                <w:rFonts w:asciiTheme="minorHAnsi" w:hAnsiTheme="minorHAnsi"/>
                <w:sz w:val="18"/>
                <w:szCs w:val="18"/>
              </w:rPr>
              <w:t xml:space="preserve">V </w:t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31F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131FB">
              <w:rPr>
                <w:rFonts w:asciiTheme="minorHAnsi" w:hAnsiTheme="minorHAnsi"/>
                <w:sz w:val="18"/>
                <w:szCs w:val="18"/>
              </w:rPr>
              <w:t xml:space="preserve">, dne </w:t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31F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E131F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90A22" w:rsidRPr="00E131F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298A93D5" w14:textId="77777777" w:rsidR="00C56250" w:rsidRPr="00E131FB" w:rsidRDefault="00C56250" w:rsidP="00C233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45623C0" w14:textId="77777777" w:rsidR="00C56250" w:rsidRPr="00E131FB" w:rsidRDefault="00C56250" w:rsidP="00C233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7A660A1" w14:textId="77777777" w:rsidR="00C56250" w:rsidRPr="00E131FB" w:rsidRDefault="00C56250" w:rsidP="00C233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31FB">
              <w:rPr>
                <w:rFonts w:asciiTheme="minorHAnsi" w:hAnsiTheme="minorHAnsi"/>
                <w:sz w:val="18"/>
                <w:szCs w:val="18"/>
              </w:rPr>
              <w:t>…………………………………………..</w:t>
            </w:r>
          </w:p>
          <w:p w14:paraId="04D5DF34" w14:textId="77777777" w:rsidR="00D43550" w:rsidRPr="00E131FB" w:rsidRDefault="00D43550" w:rsidP="00D43550">
            <w:pPr>
              <w:jc w:val="center"/>
              <w:rPr>
                <w:rStyle w:val="preformatted"/>
                <w:rFonts w:asciiTheme="minorHAnsi" w:hAnsiTheme="minorHAnsi"/>
                <w:sz w:val="18"/>
                <w:szCs w:val="18"/>
              </w:rPr>
            </w:pPr>
            <w:r w:rsidRPr="00E131FB">
              <w:rPr>
                <w:rStyle w:val="preformatted"/>
                <w:rFonts w:asciiTheme="minorHAnsi" w:hAnsiTheme="minorHAnsi"/>
                <w:sz w:val="18"/>
                <w:szCs w:val="18"/>
              </w:rPr>
              <w:t>Ing. Petr Justa</w:t>
            </w:r>
          </w:p>
          <w:p w14:paraId="1BE071C9" w14:textId="77777777" w:rsidR="00D43550" w:rsidRPr="00083C70" w:rsidRDefault="00D43550" w:rsidP="00D4355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131FB">
              <w:rPr>
                <w:rStyle w:val="preformatted"/>
                <w:rFonts w:asciiTheme="minorHAnsi" w:hAnsiTheme="minorHAnsi"/>
                <w:sz w:val="18"/>
                <w:szCs w:val="18"/>
              </w:rPr>
              <w:t>GEMA ART International s.r.o.</w:t>
            </w:r>
          </w:p>
          <w:p w14:paraId="0C79DFB9" w14:textId="77777777" w:rsidR="00C56250" w:rsidRPr="00083C70" w:rsidRDefault="00C56250" w:rsidP="00C233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A887C6C" w14:textId="77777777" w:rsidR="00C56250" w:rsidRPr="00083C70" w:rsidRDefault="00C56250" w:rsidP="00C233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3550" w:rsidRPr="00083C70" w14:paraId="6AD5EA72" w14:textId="77777777" w:rsidTr="00C233EE">
        <w:trPr>
          <w:jc w:val="center"/>
        </w:trPr>
        <w:tc>
          <w:tcPr>
            <w:tcW w:w="4606" w:type="dxa"/>
          </w:tcPr>
          <w:p w14:paraId="7EBBC1AF" w14:textId="77777777" w:rsidR="00D43550" w:rsidRPr="00083C70" w:rsidRDefault="00D43550" w:rsidP="00C233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06" w:type="dxa"/>
          </w:tcPr>
          <w:p w14:paraId="0402647E" w14:textId="77777777" w:rsidR="00D43550" w:rsidRPr="00083C70" w:rsidRDefault="00D43550" w:rsidP="00C233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6EC98FD" w14:textId="0BA60A7B" w:rsidR="00A17376" w:rsidRPr="00883623" w:rsidRDefault="00FC3293" w:rsidP="00883623">
      <w:pPr>
        <w:rPr>
          <w:rFonts w:asciiTheme="minorHAnsi" w:hAnsiTheme="minorHAnsi"/>
          <w:sz w:val="18"/>
          <w:szCs w:val="18"/>
        </w:rPr>
      </w:pPr>
      <w:r w:rsidRPr="00083C70">
        <w:rPr>
          <w:rFonts w:asciiTheme="minorHAnsi" w:hAnsiTheme="minorHAnsi"/>
          <w:sz w:val="18"/>
          <w:szCs w:val="18"/>
        </w:rPr>
        <w:br w:type="page"/>
      </w:r>
    </w:p>
    <w:p w14:paraId="5DB5E379" w14:textId="6E2AF7DB" w:rsidR="00225C02" w:rsidRPr="00883623" w:rsidRDefault="00A17376" w:rsidP="00225C02">
      <w:pPr>
        <w:rPr>
          <w:rFonts w:asciiTheme="minorHAnsi" w:hAnsiTheme="minorHAnsi"/>
          <w:b/>
        </w:rPr>
      </w:pPr>
      <w:r w:rsidRPr="00883623">
        <w:rPr>
          <w:rFonts w:asciiTheme="minorHAnsi" w:hAnsiTheme="minorHAnsi"/>
          <w:b/>
        </w:rPr>
        <w:lastRenderedPageBreak/>
        <w:t xml:space="preserve">Příloha č. </w:t>
      </w:r>
      <w:r w:rsidR="00883623" w:rsidRPr="00883623">
        <w:rPr>
          <w:rFonts w:asciiTheme="minorHAnsi" w:hAnsiTheme="minorHAnsi"/>
          <w:b/>
        </w:rPr>
        <w:t>1</w:t>
      </w:r>
    </w:p>
    <w:p w14:paraId="25E47053" w14:textId="1B086313" w:rsidR="00225C02" w:rsidRPr="00083C70" w:rsidRDefault="00225C02" w:rsidP="00225C02">
      <w:pPr>
        <w:rPr>
          <w:rFonts w:asciiTheme="minorHAnsi" w:hAnsiTheme="minorHAnsi"/>
          <w:b/>
          <w:sz w:val="18"/>
          <w:szCs w:val="18"/>
        </w:rPr>
      </w:pPr>
    </w:p>
    <w:p w14:paraId="47B5F20C" w14:textId="77777777" w:rsidR="00225C02" w:rsidRPr="00883623" w:rsidRDefault="00225C02" w:rsidP="00225C02">
      <w:pPr>
        <w:rPr>
          <w:rFonts w:asciiTheme="minorHAnsi" w:hAnsiTheme="minorHAnsi"/>
          <w:b/>
        </w:rPr>
      </w:pPr>
      <w:r w:rsidRPr="00883623">
        <w:rPr>
          <w:rFonts w:asciiTheme="minorHAnsi" w:hAnsiTheme="minorHAnsi"/>
          <w:b/>
        </w:rPr>
        <w:t>Položkový rozpočet poskytnutých služeb</w:t>
      </w:r>
    </w:p>
    <w:p w14:paraId="2A13A4A8" w14:textId="77777777" w:rsidR="00225C02" w:rsidRPr="00083C70" w:rsidRDefault="00225C02" w:rsidP="00225C02">
      <w:pPr>
        <w:rPr>
          <w:rFonts w:asciiTheme="minorHAnsi" w:hAnsiTheme="minorHAnsi"/>
          <w:b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1538"/>
        <w:gridCol w:w="977"/>
        <w:gridCol w:w="1604"/>
      </w:tblGrid>
      <w:tr w:rsidR="009A01A9" w14:paraId="5A18218C" w14:textId="77777777" w:rsidTr="00785E2C">
        <w:trPr>
          <w:trHeight w:val="313"/>
        </w:trPr>
        <w:tc>
          <w:tcPr>
            <w:tcW w:w="2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82E5" w14:textId="77777777" w:rsidR="009A01A9" w:rsidRDefault="009A01A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5810" w14:textId="77777777" w:rsidR="009A01A9" w:rsidRDefault="009A01A9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6BF4" w14:textId="77777777" w:rsidR="009A01A9" w:rsidRDefault="009A01A9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3925" w14:textId="77777777" w:rsidR="009A01A9" w:rsidRDefault="009A01A9">
            <w:pPr>
              <w:rPr>
                <w:sz w:val="20"/>
                <w:szCs w:val="20"/>
              </w:rPr>
            </w:pPr>
          </w:p>
        </w:tc>
      </w:tr>
      <w:tr w:rsidR="009A01A9" w14:paraId="2A8E76CD" w14:textId="77777777" w:rsidTr="00A17376">
        <w:trPr>
          <w:trHeight w:val="31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ACBE148" w14:textId="77777777" w:rsidR="009A01A9" w:rsidRPr="006D4969" w:rsidRDefault="006D4969" w:rsidP="00A173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4969">
              <w:rPr>
                <w:rFonts w:ascii="Calibri" w:hAnsi="Calibri" w:cs="Calibri"/>
                <w:b/>
                <w:bCs/>
                <w:color w:val="000000"/>
              </w:rPr>
              <w:t xml:space="preserve">Služby spojené s </w:t>
            </w:r>
            <w:r w:rsidR="009A01A9" w:rsidRPr="006D4969">
              <w:rPr>
                <w:rFonts w:ascii="Calibri" w:hAnsi="Calibri" w:cs="Calibri"/>
                <w:b/>
                <w:bCs/>
                <w:color w:val="000000"/>
              </w:rPr>
              <w:t>příprav</w:t>
            </w:r>
            <w:r w:rsidRPr="006D4969">
              <w:rPr>
                <w:rFonts w:ascii="Calibri" w:hAnsi="Calibri" w:cs="Calibri"/>
                <w:b/>
                <w:bCs/>
                <w:color w:val="000000"/>
              </w:rPr>
              <w:t xml:space="preserve">ou </w:t>
            </w:r>
            <w:r w:rsidR="009A01A9" w:rsidRPr="006D4969">
              <w:rPr>
                <w:rFonts w:ascii="Calibri" w:hAnsi="Calibri" w:cs="Calibri"/>
                <w:b/>
                <w:bCs/>
                <w:color w:val="000000"/>
              </w:rPr>
              <w:t>a zajištění</w:t>
            </w:r>
            <w:r w:rsidRPr="006D4969">
              <w:rPr>
                <w:rFonts w:ascii="Calibri" w:hAnsi="Calibri" w:cs="Calibri"/>
                <w:b/>
                <w:bCs/>
                <w:color w:val="000000"/>
              </w:rPr>
              <w:t>m</w:t>
            </w:r>
            <w:r w:rsidR="009A01A9" w:rsidRPr="006D4969">
              <w:rPr>
                <w:rFonts w:ascii="Calibri" w:hAnsi="Calibri" w:cs="Calibri"/>
                <w:b/>
                <w:bCs/>
                <w:color w:val="000000"/>
              </w:rPr>
              <w:t xml:space="preserve"> projektu v</w:t>
            </w:r>
            <w:r w:rsidR="00A17376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9A01A9" w:rsidRPr="006D4969">
              <w:rPr>
                <w:rFonts w:ascii="Calibri" w:hAnsi="Calibri" w:cs="Calibri"/>
                <w:b/>
                <w:bCs/>
                <w:color w:val="000000"/>
              </w:rPr>
              <w:t>Iráku</w:t>
            </w:r>
            <w:r w:rsidR="00A17376">
              <w:rPr>
                <w:rFonts w:ascii="Calibri" w:hAnsi="Calibri" w:cs="Calibri"/>
                <w:b/>
                <w:bCs/>
                <w:color w:val="000000"/>
              </w:rPr>
              <w:t xml:space="preserve">: září </w:t>
            </w:r>
            <w:r w:rsidR="00785E2C"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</w:tr>
      <w:tr w:rsidR="003C7AFB" w14:paraId="5838C197" w14:textId="77777777" w:rsidTr="00785E2C">
        <w:trPr>
          <w:trHeight w:val="313"/>
        </w:trPr>
        <w:tc>
          <w:tcPr>
            <w:tcW w:w="28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7062D3" w14:textId="77777777" w:rsidR="009A01A9" w:rsidRDefault="009A0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79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8C1604" w14:textId="77777777" w:rsidR="009A01A9" w:rsidRDefault="009A0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Cena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35575D" w14:textId="77777777" w:rsidR="009A01A9" w:rsidRDefault="009A0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Jednotek/</w:t>
            </w:r>
            <w:r w:rsidR="00A173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dnů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E6588AA" w14:textId="77777777" w:rsidR="009A01A9" w:rsidRDefault="009A0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položky</w:t>
            </w:r>
          </w:p>
        </w:tc>
      </w:tr>
      <w:tr w:rsidR="00785E2C" w14:paraId="2E98E62A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67A3E9" w14:textId="77777777" w:rsidR="00785E2C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Pojištění všech osob (celkový počet dnů)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E441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7DD0" w14:textId="77777777" w:rsidR="00785E2C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035321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74 292,00 Kč</w:t>
            </w:r>
          </w:p>
        </w:tc>
      </w:tr>
      <w:tr w:rsidR="00785E2C" w14:paraId="67DE4814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C2B68B" w14:textId="77777777" w:rsidR="00785E2C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Letenky smluvních osob vč. víza a dopravy na letiště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D1CE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A77A" w14:textId="77777777" w:rsidR="00785E2C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7AC6A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209 000,00 Kč</w:t>
            </w:r>
          </w:p>
        </w:tc>
      </w:tr>
      <w:tr w:rsidR="00785E2C" w14:paraId="07793520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024EB" w14:textId="77777777" w:rsidR="00785E2C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Místní doprava (dnů)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3CAA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11D0" w14:textId="77777777" w:rsidR="00785E2C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491A0C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29 000,00 Kč</w:t>
            </w:r>
          </w:p>
        </w:tc>
      </w:tr>
      <w:tr w:rsidR="00785E2C" w14:paraId="461D71D9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F7BC47" w14:textId="77777777" w:rsidR="00785E2C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Ubytování smluvních osob (dnů)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DDB6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1 920,00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7ADD" w14:textId="77777777" w:rsidR="00785E2C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5251EA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238 080,00 Kč</w:t>
            </w:r>
          </w:p>
        </w:tc>
      </w:tr>
      <w:tr w:rsidR="00785E2C" w14:paraId="4424556F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564A0" w14:textId="77777777" w:rsidR="00785E2C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Diety smluvních expertů (dnů)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4350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1 032,80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3133" w14:textId="77777777" w:rsidR="00785E2C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4542E6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136 329,60 Kč</w:t>
            </w:r>
          </w:p>
        </w:tc>
      </w:tr>
      <w:tr w:rsidR="00785E2C" w14:paraId="6380F2F8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E6209" w14:textId="77777777" w:rsidR="00785E2C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Tlumočení (dnů)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BD87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97BF" w14:textId="77777777" w:rsidR="00785E2C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9C3A99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232 000,00 Kč</w:t>
            </w:r>
          </w:p>
        </w:tc>
      </w:tr>
      <w:tr w:rsidR="00785E2C" w14:paraId="3EEFAD16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F609CE" w14:textId="77777777" w:rsidR="00785E2C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Teoretická výuka smluvních expertů (dnů)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0B63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AFDB" w14:textId="77777777" w:rsidR="00785E2C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BF24B3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96 000,00 Kč</w:t>
            </w:r>
          </w:p>
        </w:tc>
      </w:tr>
      <w:tr w:rsidR="00785E2C" w14:paraId="7E638B39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CFF877" w14:textId="77777777" w:rsidR="00785E2C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Praktická výuka smluvních expertů (dnů)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AE0B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8 900,00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BA68" w14:textId="77777777" w:rsidR="00785E2C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8BFC86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71 200,00 Kč</w:t>
            </w:r>
          </w:p>
        </w:tc>
      </w:tr>
      <w:tr w:rsidR="00785E2C" w14:paraId="1A76554A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1154C" w14:textId="0452C47B" w:rsidR="00785E2C" w:rsidRPr="00E93AA3" w:rsidRDefault="00AC4A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Příprava</w:t>
            </w:r>
            <w:r w:rsidR="00785E2C" w:rsidRPr="00E93A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přednášek a prezentací smluvních expertů (dnů)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EDBD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4 000,00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1910" w14:textId="77777777" w:rsidR="00785E2C" w:rsidRPr="00E93AA3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17DDD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104 000,00 Kč</w:t>
            </w:r>
          </w:p>
        </w:tc>
      </w:tr>
      <w:tr w:rsidR="00785E2C" w14:paraId="40EA146A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B2AEBB" w14:textId="77777777" w:rsidR="00785E2C" w:rsidRPr="00E93AA3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Materiály pro praktická cvičení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1447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53 000,00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A130" w14:textId="77777777" w:rsidR="00785E2C" w:rsidRPr="00E93AA3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C88D85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53 000,00 Kč</w:t>
            </w:r>
          </w:p>
        </w:tc>
      </w:tr>
      <w:tr w:rsidR="00785E2C" w14:paraId="4B3E65C6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1DEBF7" w14:textId="77777777" w:rsidR="00785E2C" w:rsidRPr="00E93AA3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Exkurze doprava (4 cesty)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4B2E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9 500,00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05A5" w14:textId="77777777" w:rsidR="00785E2C" w:rsidRPr="00E93AA3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44DED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38 000,00 Kč</w:t>
            </w:r>
          </w:p>
        </w:tc>
      </w:tr>
      <w:tr w:rsidR="00785E2C" w14:paraId="542270BE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32D41" w14:textId="77777777" w:rsidR="00785E2C" w:rsidRPr="00E93AA3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Odborní průvodci pro 4 exkurse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E5AA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8 000,00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766F" w14:textId="77777777" w:rsidR="00785E2C" w:rsidRPr="00E93AA3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9A6BB3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32 000,00 Kč</w:t>
            </w:r>
          </w:p>
        </w:tc>
      </w:tr>
      <w:tr w:rsidR="00785E2C" w14:paraId="2E57DD79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C0423" w14:textId="77777777" w:rsidR="00785E2C" w:rsidRPr="00E93AA3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Zajištění technického vybavení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87C3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23 000,00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FD88" w14:textId="77777777" w:rsidR="00785E2C" w:rsidRPr="00E93AA3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1E455E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23 000,00 Kč</w:t>
            </w:r>
          </w:p>
        </w:tc>
      </w:tr>
      <w:tr w:rsidR="00785E2C" w14:paraId="2F733377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D838E1" w14:textId="77777777" w:rsidR="00785E2C" w:rsidRPr="00E93AA3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Příprava a koordinace v Iráku (dnů)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0C58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22 000,00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6882" w14:textId="77777777" w:rsidR="00785E2C" w:rsidRPr="00E93AA3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E70336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154 000,00 Kč</w:t>
            </w:r>
          </w:p>
        </w:tc>
      </w:tr>
      <w:tr w:rsidR="00785E2C" w14:paraId="158190FD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8A3804" w14:textId="77777777" w:rsidR="00785E2C" w:rsidRPr="00E93AA3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Management kurzu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DED9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219 000,00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0C29" w14:textId="77777777" w:rsidR="00785E2C" w:rsidRPr="00E93AA3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B47F39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219 000,00 Kč</w:t>
            </w:r>
          </w:p>
        </w:tc>
      </w:tr>
      <w:tr w:rsidR="00785E2C" w14:paraId="3553EF91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4073D" w14:textId="77777777" w:rsidR="00785E2C" w:rsidRPr="00E93AA3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Jazykově vybavená kontaktní osoba (Angl., Arab., Kurd.)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7404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73 000,00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BAE2" w14:textId="77777777" w:rsidR="00785E2C" w:rsidRPr="00E93AA3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474CA3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73 000,00 Kč</w:t>
            </w:r>
          </w:p>
        </w:tc>
      </w:tr>
      <w:tr w:rsidR="00785E2C" w14:paraId="72FD1657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1A6C28" w14:textId="77777777" w:rsidR="00785E2C" w:rsidRPr="00E93AA3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Komunikace (mobilní sítě a internet)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3C9B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25 000,00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ECBC" w14:textId="77777777" w:rsidR="00785E2C" w:rsidRPr="00E93AA3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D7CDBF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25 000,00 Kč</w:t>
            </w:r>
          </w:p>
        </w:tc>
      </w:tr>
      <w:tr w:rsidR="00785E2C" w14:paraId="39945711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4EEE7B" w14:textId="77777777" w:rsidR="00785E2C" w:rsidRPr="00E93AA3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Výroba certifikátů a učebních tiskovin v Iráku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CDA8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10 000,00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924E" w14:textId="77777777" w:rsidR="00785E2C" w:rsidRPr="00E93AA3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F67FE0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10 000,00 Kč</w:t>
            </w:r>
          </w:p>
        </w:tc>
      </w:tr>
      <w:tr w:rsidR="00785E2C" w14:paraId="3EB5A6C8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DD04D7" w14:textId="77777777" w:rsidR="00785E2C" w:rsidRPr="00E93AA3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Reprezentační předměty (ceremoniál zahájení/ukončení)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6187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25 000,00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D6570" w14:textId="77777777" w:rsidR="00785E2C" w:rsidRPr="00E93AA3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95B04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25 000,00 Kč</w:t>
            </w:r>
          </w:p>
        </w:tc>
      </w:tr>
      <w:tr w:rsidR="00785E2C" w14:paraId="0B97EFE1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C29EF" w14:textId="77777777" w:rsidR="00785E2C" w:rsidRPr="00E93AA3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PCR testy v Iráku (2 x pro všechny osoby)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A984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650,00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F1D1" w14:textId="77777777" w:rsidR="00785E2C" w:rsidRPr="00E93AA3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98FA0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8 450,00 Kč</w:t>
            </w:r>
          </w:p>
        </w:tc>
      </w:tr>
      <w:tr w:rsidR="00785E2C" w14:paraId="729CF5D3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DA3CDD" w14:textId="77777777" w:rsidR="00785E2C" w:rsidRPr="00E93AA3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Překlady studijních materiálů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D7FA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70 000,00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8F07" w14:textId="77777777" w:rsidR="00785E2C" w:rsidRPr="00E93AA3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02C719" w14:textId="77777777" w:rsidR="00785E2C" w:rsidRPr="00E93AA3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AA3">
              <w:rPr>
                <w:rFonts w:ascii="Calibri" w:hAnsi="Calibri" w:cs="Calibri"/>
                <w:color w:val="000000"/>
                <w:sz w:val="22"/>
                <w:szCs w:val="22"/>
              </w:rPr>
              <w:t>70 000,00 Kč</w:t>
            </w:r>
          </w:p>
        </w:tc>
      </w:tr>
      <w:tr w:rsidR="00785E2C" w14:paraId="21290D55" w14:textId="77777777" w:rsidTr="00785E2C">
        <w:trPr>
          <w:trHeight w:val="301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8FA780" w14:textId="77777777" w:rsidR="00785E2C" w:rsidRDefault="00785E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Pojištění přepravy speciálních přístrojů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991D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40 000,00 Kč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CF8B" w14:textId="77777777" w:rsidR="00785E2C" w:rsidRDefault="00785E2C" w:rsidP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0DD174" w14:textId="77777777" w:rsidR="00785E2C" w:rsidRDefault="00785E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40 000,00 Kč</w:t>
            </w:r>
          </w:p>
        </w:tc>
      </w:tr>
      <w:tr w:rsidR="003C7AFB" w14:paraId="04C2C90E" w14:textId="77777777" w:rsidTr="00785E2C">
        <w:trPr>
          <w:trHeight w:val="313"/>
        </w:trPr>
        <w:tc>
          <w:tcPr>
            <w:tcW w:w="28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3EF14694" w14:textId="77777777" w:rsidR="00BF7B94" w:rsidRDefault="00BF7B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492D674B" w14:textId="77777777" w:rsidR="00BF7B94" w:rsidRDefault="00BF7B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14:paraId="6DE085AE" w14:textId="77777777" w:rsidR="00BF7B94" w:rsidRDefault="00BF7B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59755175" w14:textId="77777777" w:rsidR="00BF7B94" w:rsidRDefault="00785E2C" w:rsidP="000831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1 960 351,60 Kč</w:t>
            </w:r>
          </w:p>
        </w:tc>
      </w:tr>
    </w:tbl>
    <w:p w14:paraId="3FA7BF81" w14:textId="1486C73E" w:rsidR="00883623" w:rsidRDefault="009A01A9" w:rsidP="00225C02">
      <w:pPr>
        <w:rPr>
          <w:rFonts w:asciiTheme="minorHAnsi" w:hAnsiTheme="minorHAnsi"/>
          <w:b/>
          <w:sz w:val="18"/>
          <w:szCs w:val="18"/>
        </w:rPr>
      </w:pPr>
      <w:r w:rsidRPr="00083C70">
        <w:rPr>
          <w:rFonts w:asciiTheme="minorHAnsi" w:hAnsiTheme="minorHAnsi"/>
          <w:b/>
          <w:sz w:val="18"/>
          <w:szCs w:val="18"/>
        </w:rPr>
        <w:t xml:space="preserve"> </w:t>
      </w:r>
    </w:p>
    <w:p w14:paraId="119640C3" w14:textId="72E06192" w:rsidR="00883623" w:rsidRDefault="00883623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br w:type="page"/>
      </w:r>
    </w:p>
    <w:p w14:paraId="0FB4520B" w14:textId="77777777" w:rsidR="00883623" w:rsidRDefault="00883623" w:rsidP="00883623">
      <w:pPr>
        <w:rPr>
          <w:rFonts w:asciiTheme="minorHAnsi" w:hAnsiTheme="minorHAnsi"/>
          <w:b/>
          <w:sz w:val="18"/>
          <w:szCs w:val="18"/>
        </w:rPr>
      </w:pPr>
    </w:p>
    <w:p w14:paraId="3802C801" w14:textId="77777777" w:rsidR="00883623" w:rsidRDefault="00883623" w:rsidP="00883623">
      <w:pPr>
        <w:rPr>
          <w:rFonts w:asciiTheme="minorHAnsi" w:hAnsiTheme="minorHAnsi"/>
          <w:b/>
        </w:rPr>
      </w:pPr>
      <w:r w:rsidRPr="00883623">
        <w:rPr>
          <w:rFonts w:asciiTheme="minorHAnsi" w:hAnsiTheme="minorHAnsi"/>
          <w:b/>
        </w:rPr>
        <w:t>Příloha č. 2</w:t>
      </w:r>
      <w:r w:rsidRPr="00883623">
        <w:rPr>
          <w:rFonts w:asciiTheme="minorHAnsi" w:hAnsiTheme="minorHAnsi"/>
          <w:b/>
        </w:rPr>
        <w:tab/>
      </w:r>
    </w:p>
    <w:p w14:paraId="1D14BF85" w14:textId="77777777" w:rsidR="00883623" w:rsidRDefault="00883623" w:rsidP="00883623">
      <w:pPr>
        <w:rPr>
          <w:rFonts w:asciiTheme="minorHAnsi" w:hAnsiTheme="minorHAnsi"/>
          <w:b/>
        </w:rPr>
      </w:pPr>
    </w:p>
    <w:p w14:paraId="13BC33F6" w14:textId="5DBFAB1F" w:rsidR="00883623" w:rsidRPr="00883623" w:rsidRDefault="00883623" w:rsidP="00883623">
      <w:pPr>
        <w:rPr>
          <w:rFonts w:asciiTheme="minorHAnsi" w:hAnsiTheme="minorHAnsi"/>
          <w:b/>
        </w:rPr>
      </w:pPr>
      <w:r w:rsidRPr="00883623">
        <w:rPr>
          <w:rFonts w:asciiTheme="minorHAnsi" w:hAnsiTheme="minorHAnsi"/>
          <w:b/>
        </w:rPr>
        <w:t>Obsahová náplň Projektu</w:t>
      </w:r>
    </w:p>
    <w:p w14:paraId="15C3B2F0" w14:textId="77777777" w:rsidR="00883623" w:rsidRDefault="00883623">
      <w:pPr>
        <w:rPr>
          <w:rFonts w:asciiTheme="minorHAnsi" w:hAnsiTheme="minorHAnsi"/>
          <w:b/>
          <w:sz w:val="18"/>
          <w:szCs w:val="18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8060"/>
      </w:tblGrid>
      <w:tr w:rsidR="00883623" w14:paraId="575A324B" w14:textId="77777777" w:rsidTr="00221FD0">
        <w:trPr>
          <w:trHeight w:val="640"/>
        </w:trPr>
        <w:tc>
          <w:tcPr>
            <w:tcW w:w="9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F24E6" w14:textId="77777777" w:rsidR="00883623" w:rsidRDefault="00883623" w:rsidP="00221F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PŘÍČINY DEGRADACE A ZÁCHRANA HISTORICKÝCH STAVEBNÍCH PAMÁTEK</w:t>
            </w:r>
          </w:p>
          <w:p w14:paraId="2D775DE7" w14:textId="77777777" w:rsidR="00883623" w:rsidRDefault="00883623" w:rsidP="00221F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3623" w14:paraId="08E59842" w14:textId="77777777" w:rsidTr="00221FD0">
        <w:trPr>
          <w:trHeight w:val="694"/>
        </w:trPr>
        <w:tc>
          <w:tcPr>
            <w:tcW w:w="9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85D1C" w14:textId="77777777" w:rsidR="00883623" w:rsidRDefault="00883623" w:rsidP="00221F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KURZ PRO POKROČILÉ (2021)</w:t>
            </w:r>
          </w:p>
          <w:p w14:paraId="0528CA4D" w14:textId="77777777" w:rsidR="00883623" w:rsidRDefault="00883623" w:rsidP="00221F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3623" w14:paraId="7A661D74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0EDCDD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Management: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hideMark/>
          </w:tcPr>
          <w:p w14:paraId="343BEFAA" w14:textId="2ADA52CB" w:rsidR="00883623" w:rsidRDefault="005041E8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  <w:proofErr w:type="spellEnd"/>
            <w:r w:rsidR="0088362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GEMA ART International s.r.o.</w:t>
            </w:r>
          </w:p>
        </w:tc>
      </w:tr>
      <w:tr w:rsidR="00883623" w14:paraId="72104BD9" w14:textId="77777777" w:rsidTr="00221FD0">
        <w:trPr>
          <w:trHeight w:val="2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A84DD08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Tlumočení: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16205958" w14:textId="1F17101D" w:rsidR="00883623" w:rsidRDefault="005041E8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  <w:proofErr w:type="spellEnd"/>
          </w:p>
        </w:tc>
      </w:tr>
      <w:tr w:rsidR="00883623" w14:paraId="70C56A49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ABD96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2A23" w14:textId="77777777" w:rsidR="00883623" w:rsidRDefault="00883623" w:rsidP="00221FD0">
            <w:pPr>
              <w:rPr>
                <w:sz w:val="20"/>
                <w:szCs w:val="20"/>
              </w:rPr>
            </w:pPr>
          </w:p>
        </w:tc>
      </w:tr>
      <w:tr w:rsidR="00883623" w14:paraId="386ABAF5" w14:textId="77777777" w:rsidTr="00221FD0">
        <w:trPr>
          <w:trHeight w:val="25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608B7019" w14:textId="77777777" w:rsidR="00883623" w:rsidRDefault="00883623" w:rsidP="00221F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I. Blok</w:t>
            </w:r>
          </w:p>
        </w:tc>
        <w:tc>
          <w:tcPr>
            <w:tcW w:w="8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60585967" w14:textId="77777777" w:rsidR="00883623" w:rsidRDefault="00883623" w:rsidP="00221F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Historické stavební památky, metody jejich výzkumu</w:t>
            </w:r>
          </w:p>
        </w:tc>
      </w:tr>
      <w:tr w:rsidR="00883623" w14:paraId="3377E08D" w14:textId="77777777" w:rsidTr="00221FD0">
        <w:trPr>
          <w:trHeight w:val="24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930A1D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Délka trvání: 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F7F4D2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týden (4 dny výuka, 1 den exkurze, 8 h/den = celkem 40 h)</w:t>
            </w:r>
          </w:p>
        </w:tc>
      </w:tr>
      <w:tr w:rsidR="00883623" w14:paraId="432797D9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EE46E9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Lektoři: 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hideMark/>
          </w:tcPr>
          <w:p w14:paraId="08230947" w14:textId="3D909CB5" w:rsidR="00883623" w:rsidRDefault="005041E8" w:rsidP="005041E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8362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UPOL </w:t>
            </w:r>
          </w:p>
        </w:tc>
      </w:tr>
      <w:tr w:rsidR="00883623" w14:paraId="5E51B4FC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F93C5E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hideMark/>
          </w:tcPr>
          <w:p w14:paraId="548DC880" w14:textId="13759355" w:rsidR="00883623" w:rsidRDefault="005041E8" w:rsidP="005041E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  <w:proofErr w:type="spellEnd"/>
            <w:r w:rsidR="0088362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– UPOL </w:t>
            </w:r>
          </w:p>
        </w:tc>
      </w:tr>
      <w:tr w:rsidR="00883623" w14:paraId="37BA11F2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990341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hideMark/>
          </w:tcPr>
          <w:p w14:paraId="2C1EE168" w14:textId="7379549E" w:rsidR="00883623" w:rsidRDefault="005041E8" w:rsidP="005041E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  <w:proofErr w:type="spellEnd"/>
            <w:r w:rsidR="0088362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– NPÚ </w:t>
            </w:r>
          </w:p>
        </w:tc>
      </w:tr>
      <w:tr w:rsidR="00883623" w14:paraId="0499CA9A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4F4F78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Témata: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A8B7A4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83623" w14:paraId="1E4EACFE" w14:textId="77777777" w:rsidTr="00221FD0">
        <w:trPr>
          <w:trHeight w:val="100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FE1604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9F6767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Základy stavební archeologie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 pojetí stavby jako archeologického artefaktu, analýza vztahu mezi konstrukcí a uloženinami, principy a standardy archeologické dokumentace, stratigrafická analýza, relativní a absolutní datování staveb. Zásady ochrany archeologických terénů ve vazbě na historické konstrukce. Teoretická přednáška s příklady a praktická výuka v terénu.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2 dny (KN)</w:t>
            </w:r>
          </w:p>
        </w:tc>
      </w:tr>
      <w:tr w:rsidR="00883623" w14:paraId="5505ED38" w14:textId="77777777" w:rsidTr="00221FD0">
        <w:trPr>
          <w:trHeight w:val="96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4F4631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4AF4D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Operativní dokumentace historických staveb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zásady fotografování, pořizování rychlé plánové dokumentace, řezů a pohledů, využití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jednosnímkové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fotogrammetrie v terénu, rekonstrukce stavebního vývoje, relativní chronologie staveb, rekonstrukce nedochovaných částí. Přednáška s příklady a praktická výuka v terénu.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(JB)</w:t>
            </w:r>
          </w:p>
        </w:tc>
      </w:tr>
      <w:tr w:rsidR="00883623" w14:paraId="2F6573B6" w14:textId="77777777" w:rsidTr="00221FD0">
        <w:trPr>
          <w:trHeight w:val="12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6A6BC9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B5F42F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Metody terénního sběru prostorových dat a jejich zpracování v prostředí GIS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přehled metod (tachymetrické zaměření, laserové skenování, drony).  Praktická výuka – zpracování prostorových dat v softwaru GIS (vynesení bodů do mapy, deskripce, uložení souřadnic, export do podoby databázového systému, vytvoření plánů, export výstupů).  Digitalizace 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vektorizace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map, plánů a jiných typů stavební dokumentace.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(LS)</w:t>
            </w:r>
          </w:p>
        </w:tc>
      </w:tr>
      <w:tr w:rsidR="00883623" w14:paraId="41A10ECA" w14:textId="77777777" w:rsidTr="00221FD0">
        <w:trPr>
          <w:trHeight w:val="18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14CF47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60BF8B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83623" w14:paraId="559D1B63" w14:textId="77777777" w:rsidTr="00221FD0">
        <w:trPr>
          <w:trHeight w:val="49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C1264F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Exkurze (1 den): 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E7971D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Praktická výuka v terénu: archeologická dokumentace a operativní dokumentace staveb, lokalita citadela v Erbilu.</w:t>
            </w:r>
          </w:p>
        </w:tc>
      </w:tr>
      <w:tr w:rsidR="00883623" w14:paraId="5B550A11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0755E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346CD" w14:textId="77777777" w:rsidR="00883623" w:rsidRDefault="00883623" w:rsidP="00221FD0">
            <w:pPr>
              <w:rPr>
                <w:sz w:val="20"/>
                <w:szCs w:val="20"/>
              </w:rPr>
            </w:pPr>
          </w:p>
          <w:p w14:paraId="23901465" w14:textId="77777777" w:rsidR="00883623" w:rsidRDefault="00883623" w:rsidP="00221FD0">
            <w:pPr>
              <w:rPr>
                <w:sz w:val="20"/>
                <w:szCs w:val="20"/>
              </w:rPr>
            </w:pPr>
          </w:p>
          <w:p w14:paraId="696B2C13" w14:textId="77777777" w:rsidR="00883623" w:rsidRDefault="00883623" w:rsidP="00221FD0">
            <w:pPr>
              <w:rPr>
                <w:sz w:val="20"/>
                <w:szCs w:val="20"/>
              </w:rPr>
            </w:pPr>
          </w:p>
          <w:p w14:paraId="4F86B662" w14:textId="77777777" w:rsidR="00883623" w:rsidRDefault="00883623" w:rsidP="00221FD0">
            <w:pPr>
              <w:rPr>
                <w:sz w:val="20"/>
                <w:szCs w:val="20"/>
              </w:rPr>
            </w:pPr>
          </w:p>
          <w:p w14:paraId="7E0FB380" w14:textId="77777777" w:rsidR="00883623" w:rsidRDefault="00883623" w:rsidP="00221FD0">
            <w:pPr>
              <w:rPr>
                <w:sz w:val="20"/>
                <w:szCs w:val="20"/>
              </w:rPr>
            </w:pPr>
          </w:p>
          <w:p w14:paraId="3B6636E7" w14:textId="77777777" w:rsidR="00883623" w:rsidRDefault="00883623" w:rsidP="00221FD0">
            <w:pPr>
              <w:rPr>
                <w:sz w:val="20"/>
                <w:szCs w:val="20"/>
              </w:rPr>
            </w:pPr>
          </w:p>
        </w:tc>
      </w:tr>
      <w:tr w:rsidR="00883623" w14:paraId="1C3B58C3" w14:textId="77777777" w:rsidTr="00221FD0">
        <w:trPr>
          <w:trHeight w:val="49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68701952" w14:textId="77777777" w:rsidR="00883623" w:rsidRDefault="00883623" w:rsidP="00221F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II. Blok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F885541" w14:textId="77777777" w:rsidR="00883623" w:rsidRDefault="00883623" w:rsidP="00221F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Dokumentace a evidence historických památek. Historické stavební materiály a jejich degradace, stavebně technické průzkumy</w:t>
            </w:r>
          </w:p>
        </w:tc>
      </w:tr>
      <w:tr w:rsidR="00883623" w14:paraId="1DF4B019" w14:textId="77777777" w:rsidTr="00221FD0">
        <w:trPr>
          <w:trHeight w:val="25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C8E285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Délka trvání: </w:t>
            </w:r>
          </w:p>
        </w:tc>
        <w:tc>
          <w:tcPr>
            <w:tcW w:w="8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CC33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týden (4 dny výuka, 1 den exkurze, 8 h/den = celkem 40 h) </w:t>
            </w:r>
          </w:p>
        </w:tc>
      </w:tr>
      <w:tr w:rsidR="00883623" w14:paraId="647A8A3D" w14:textId="77777777" w:rsidTr="00221FD0">
        <w:trPr>
          <w:trHeight w:val="246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147451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Lektoři: </w:t>
            </w:r>
          </w:p>
        </w:tc>
        <w:tc>
          <w:tcPr>
            <w:tcW w:w="8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hideMark/>
          </w:tcPr>
          <w:p w14:paraId="5EBF1AF8" w14:textId="63571B6E" w:rsidR="00883623" w:rsidRDefault="005041E8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  <w:proofErr w:type="spellEnd"/>
            <w:r w:rsidR="0088362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NPÚ</w:t>
            </w:r>
          </w:p>
        </w:tc>
      </w:tr>
      <w:tr w:rsidR="00883623" w14:paraId="5E7A2837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162073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E7B0E6" w14:textId="0A8E448B" w:rsidR="00883623" w:rsidRDefault="005041E8" w:rsidP="005041E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  <w:proofErr w:type="spellEnd"/>
            <w:r w:rsidR="0088362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(ZS, UTAM)</w:t>
            </w:r>
          </w:p>
        </w:tc>
      </w:tr>
      <w:tr w:rsidR="00883623" w14:paraId="7FBD2671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65BCD2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D097AE9" w14:textId="34AFB114" w:rsidR="00883623" w:rsidRDefault="005041E8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  <w:proofErr w:type="spellEnd"/>
            <w:r w:rsidR="0088362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(KB, FRPU)</w:t>
            </w:r>
          </w:p>
        </w:tc>
      </w:tr>
      <w:tr w:rsidR="00883623" w14:paraId="25252715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78A92D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Témata: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DB05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83623" w14:paraId="34DFB2A0" w14:textId="77777777" w:rsidTr="00221FD0">
        <w:trPr>
          <w:trHeight w:val="75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59296C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96D115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Evidence památek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IT systémů, databází: podrobnější charakteristika principů a způsobů sepisování a evidence památek, využití a třídění digitální i analogové dokumentace, seznámení s obecně využitelnými principy pro třídění a efektivní využití evidenčních údajů a dokumentačních podkladů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(JH)</w:t>
            </w:r>
          </w:p>
        </w:tc>
      </w:tr>
      <w:tr w:rsidR="00883623" w14:paraId="65C9F98E" w14:textId="77777777" w:rsidTr="00883623">
        <w:trPr>
          <w:trHeight w:val="9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D46D1C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8700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Metody materiálového průzkumu památkových objektů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základní principy, cíle a metody materiálového průzkumu v oblasti péče o hmotné kulturní dědictví, přehled a možnosti využití hlavních metod materiálového průzkumu používaných v současnosti, doplněné ukázkami konkrétních příkladů průzkumu.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(ZS/KB)</w:t>
            </w:r>
          </w:p>
        </w:tc>
      </w:tr>
      <w:tr w:rsidR="00883623" w14:paraId="57E516EB" w14:textId="77777777" w:rsidTr="00883623">
        <w:trPr>
          <w:trHeight w:val="7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77A9FC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9C0E384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Vliv vodorozpustných solí a možnosti opatření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základní principy a mechanizmy negativního působení vodorozpustných solí na stavební památky, popis současných možností omezení jejich vlivu, doplněné ukázkami konkrétních příkladů z praxe.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(ZS/KB)</w:t>
            </w:r>
          </w:p>
        </w:tc>
      </w:tr>
      <w:tr w:rsidR="00883623" w14:paraId="29E27A7F" w14:textId="77777777" w:rsidTr="00221FD0">
        <w:trPr>
          <w:trHeight w:val="720"/>
        </w:trPr>
        <w:tc>
          <w:tcPr>
            <w:tcW w:w="1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AD18A8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8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978BFF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Konsolidace porézních anorganických materiálů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základní principy a cíle konsolidace porézních anorganických materiálů, možnosti kontroly a hodnocení účinnosti konsolidace, doplněné ukázkami hodnocení konsolidace z praxe.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(ZS/KB)</w:t>
            </w:r>
          </w:p>
        </w:tc>
      </w:tr>
      <w:tr w:rsidR="00883623" w14:paraId="05C7A04A" w14:textId="77777777" w:rsidTr="00221FD0">
        <w:trPr>
          <w:trHeight w:val="398"/>
        </w:trPr>
        <w:tc>
          <w:tcPr>
            <w:tcW w:w="154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14:paraId="70823133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0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4DA67447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83623" w14:paraId="42D19D0A" w14:textId="77777777" w:rsidTr="00221FD0">
        <w:trPr>
          <w:trHeight w:val="300"/>
        </w:trPr>
        <w:tc>
          <w:tcPr>
            <w:tcW w:w="96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5CD7DA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Praktické ukázky (vždy v odpolední části výuky):</w:t>
            </w:r>
          </w:p>
        </w:tc>
      </w:tr>
      <w:tr w:rsidR="00883623" w14:paraId="38CADBBE" w14:textId="77777777" w:rsidTr="00221FD0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82501C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 4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4D50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Praktické způsoby třídění digitální i analogové dokumentace, problematika evidence památek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(JH)</w:t>
            </w:r>
          </w:p>
        </w:tc>
      </w:tr>
      <w:tr w:rsidR="00883623" w14:paraId="1D0E4327" w14:textId="77777777" w:rsidTr="00221FD0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5CCE28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 5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5DAEF8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Ukázka přípravy nábrusu a jednoduchých důkazových reakcí pro identifikaci vybraných materiálů.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(ZS/KB) </w:t>
            </w:r>
          </w:p>
        </w:tc>
      </w:tr>
      <w:tr w:rsidR="00883623" w14:paraId="0E5E9E36" w14:textId="77777777" w:rsidTr="00221FD0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32E797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 6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EB5D15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Ukázka přípravy a aplikace odsolovacího obkladu ev. odsolení ponorem a kontrola průběhu odsolování měřením vodivosti.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(ZS/KB)</w:t>
            </w:r>
          </w:p>
        </w:tc>
      </w:tr>
      <w:tr w:rsidR="00883623" w14:paraId="416C3395" w14:textId="77777777" w:rsidTr="00221FD0">
        <w:trPr>
          <w:trHeight w:val="48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E83E34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 7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A740C3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Ukázka aplikace vybraných konsolidačních prostředků na modelové podložce – kámen nebo dusaný písek.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(ZS/KB)</w:t>
            </w:r>
          </w:p>
        </w:tc>
      </w:tr>
      <w:tr w:rsidR="00883623" w14:paraId="3296C500" w14:textId="77777777" w:rsidTr="00221FD0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F03C48D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Exkurze (1 den):</w:t>
            </w:r>
          </w:p>
        </w:tc>
        <w:tc>
          <w:tcPr>
            <w:tcW w:w="80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44DD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Citadela v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Erbilu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Minaret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Choli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historické objekty v okolí</w:t>
            </w:r>
          </w:p>
        </w:tc>
      </w:tr>
      <w:tr w:rsidR="00883623" w14:paraId="0EAD73F1" w14:textId="77777777" w:rsidTr="00221FD0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06E6F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98592" w14:textId="77777777" w:rsidR="00883623" w:rsidRDefault="00883623" w:rsidP="00221FD0">
            <w:pPr>
              <w:rPr>
                <w:sz w:val="20"/>
                <w:szCs w:val="20"/>
              </w:rPr>
            </w:pPr>
          </w:p>
          <w:p w14:paraId="1D360570" w14:textId="77777777" w:rsidR="00883623" w:rsidRDefault="00883623" w:rsidP="00221FD0">
            <w:pPr>
              <w:rPr>
                <w:sz w:val="20"/>
                <w:szCs w:val="20"/>
              </w:rPr>
            </w:pPr>
          </w:p>
          <w:p w14:paraId="3C7B5388" w14:textId="77777777" w:rsidR="00883623" w:rsidRDefault="00883623" w:rsidP="00221FD0">
            <w:pPr>
              <w:rPr>
                <w:sz w:val="20"/>
                <w:szCs w:val="20"/>
              </w:rPr>
            </w:pPr>
          </w:p>
          <w:p w14:paraId="62406AEF" w14:textId="77777777" w:rsidR="00883623" w:rsidRDefault="00883623" w:rsidP="00221FD0">
            <w:pPr>
              <w:rPr>
                <w:sz w:val="20"/>
                <w:szCs w:val="20"/>
              </w:rPr>
            </w:pPr>
          </w:p>
          <w:p w14:paraId="5C534D8E" w14:textId="77777777" w:rsidR="00883623" w:rsidRDefault="00883623" w:rsidP="00221FD0">
            <w:pPr>
              <w:rPr>
                <w:sz w:val="20"/>
                <w:szCs w:val="20"/>
              </w:rPr>
            </w:pPr>
          </w:p>
          <w:p w14:paraId="02D32EA9" w14:textId="77777777" w:rsidR="00883623" w:rsidRDefault="00883623" w:rsidP="00221FD0">
            <w:pPr>
              <w:rPr>
                <w:sz w:val="20"/>
                <w:szCs w:val="20"/>
              </w:rPr>
            </w:pPr>
          </w:p>
          <w:p w14:paraId="7AB1B659" w14:textId="77777777" w:rsidR="00883623" w:rsidRDefault="00883623" w:rsidP="00221FD0">
            <w:pPr>
              <w:rPr>
                <w:sz w:val="20"/>
                <w:szCs w:val="20"/>
              </w:rPr>
            </w:pPr>
          </w:p>
        </w:tc>
      </w:tr>
      <w:tr w:rsidR="00883623" w14:paraId="3F950516" w14:textId="77777777" w:rsidTr="00221FD0">
        <w:trPr>
          <w:trHeight w:val="49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14:paraId="2F45957B" w14:textId="77777777" w:rsidR="00883623" w:rsidRDefault="00883623" w:rsidP="00221F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III. Blok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B845A9D" w14:textId="77777777" w:rsidR="00883623" w:rsidRDefault="00883623" w:rsidP="00221F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Základy restaurátorského a materiálového průzkumu, základy metod restaurování stavebních památek a povrchu historické architektury I, využití nových materiálů.</w:t>
            </w:r>
          </w:p>
        </w:tc>
      </w:tr>
      <w:tr w:rsidR="00883623" w14:paraId="3A9BF4AB" w14:textId="77777777" w:rsidTr="00221FD0">
        <w:trPr>
          <w:trHeight w:val="24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F104D8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Délka trvání: </w:t>
            </w:r>
          </w:p>
        </w:tc>
        <w:tc>
          <w:tcPr>
            <w:tcW w:w="8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53A2DF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týden (4 dny výuka, 1 den exkurze, 8 h/den = celkem 40 h)</w:t>
            </w:r>
          </w:p>
        </w:tc>
      </w:tr>
      <w:tr w:rsidR="00883623" w14:paraId="5BA03BFF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060BAF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Lektoři: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FAEE99" w14:textId="294BDA61" w:rsidR="00883623" w:rsidRPr="003D614D" w:rsidRDefault="005041E8" w:rsidP="00221FD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xxx</w:t>
            </w:r>
            <w:proofErr w:type="spellEnd"/>
            <w:r w:rsidR="00883623" w:rsidRPr="003D614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 Univerzita J. E. Purkyně Ústí nad Labem (PŠ)</w:t>
            </w:r>
          </w:p>
        </w:tc>
      </w:tr>
      <w:tr w:rsidR="00883623" w14:paraId="41A4DADB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2A8C5D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57A6BF" w14:textId="6CCB6640" w:rsidR="00883623" w:rsidRPr="003D614D" w:rsidRDefault="005041E8" w:rsidP="00221FD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xxx</w:t>
            </w:r>
            <w:proofErr w:type="spellEnd"/>
            <w:r w:rsidR="00883623" w:rsidRPr="003D614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 GEMA ART International s.r.o., (PJ)</w:t>
            </w:r>
          </w:p>
        </w:tc>
      </w:tr>
      <w:tr w:rsidR="00883623" w14:paraId="26F284EF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6CEBDB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A12AC5" w14:textId="3C5A68E7" w:rsidR="00883623" w:rsidRPr="003D614D" w:rsidRDefault="005041E8" w:rsidP="00221FD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xxx</w:t>
            </w:r>
            <w:proofErr w:type="spellEnd"/>
            <w:r w:rsidR="00883623" w:rsidRPr="003D614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– České vysoké učení technické v Praze (KP)</w:t>
            </w:r>
          </w:p>
        </w:tc>
      </w:tr>
      <w:tr w:rsidR="00883623" w14:paraId="2A749595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E29599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Témata: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91E114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83623" w14:paraId="24E410B6" w14:textId="77777777" w:rsidTr="00221FD0">
        <w:trPr>
          <w:trHeight w:val="96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9B3C62" w14:textId="77777777" w:rsidR="00883623" w:rsidRPr="00E131FB" w:rsidRDefault="00883623" w:rsidP="00221FD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131FB">
              <w:rPr>
                <w:rFonts w:ascii="Calibri" w:hAnsi="Calibri" w:cs="Calibri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6871D7" w14:textId="77777777" w:rsidR="00883623" w:rsidRPr="00E131FB" w:rsidRDefault="00883623" w:rsidP="00221FD0">
            <w:pPr>
              <w:rPr>
                <w:rFonts w:ascii="Calibri" w:hAnsi="Calibri" w:cs="Calibri"/>
                <w:sz w:val="18"/>
                <w:szCs w:val="18"/>
              </w:rPr>
            </w:pPr>
            <w:r w:rsidRPr="00E131FB">
              <w:rPr>
                <w:rFonts w:ascii="Calibri" w:hAnsi="Calibri" w:cs="Calibri"/>
                <w:b/>
                <w:bCs/>
                <w:sz w:val="18"/>
                <w:szCs w:val="18"/>
              </w:rPr>
              <w:t>Základy metod průzkumu stavebních památek a povrchu historické architektury II</w:t>
            </w:r>
            <w:r w:rsidRPr="00E131FB">
              <w:rPr>
                <w:rFonts w:ascii="Calibri" w:hAnsi="Calibri" w:cs="Calibri"/>
                <w:sz w:val="18"/>
                <w:szCs w:val="18"/>
              </w:rPr>
              <w:t xml:space="preserve"> – popis a dokumentace stavu, použitých materiálů, mapování poškození, odběr vzorků, základní metody terénního i laboratorního průzkumu. Vlhkostní analýza a analýza zasolení in </w:t>
            </w:r>
            <w:proofErr w:type="spellStart"/>
            <w:r w:rsidRPr="00E131FB">
              <w:rPr>
                <w:rFonts w:ascii="Calibri" w:hAnsi="Calibri" w:cs="Calibri"/>
                <w:sz w:val="18"/>
                <w:szCs w:val="18"/>
              </w:rPr>
              <w:t>situ</w:t>
            </w:r>
            <w:proofErr w:type="spellEnd"/>
            <w:r w:rsidRPr="00E131FB">
              <w:rPr>
                <w:rFonts w:ascii="Calibri" w:hAnsi="Calibri" w:cs="Calibri"/>
                <w:sz w:val="18"/>
                <w:szCs w:val="18"/>
              </w:rPr>
              <w:t xml:space="preserve">, Mikroskopická analýza stavu zdicího materiálu in </w:t>
            </w:r>
            <w:proofErr w:type="spellStart"/>
            <w:r w:rsidRPr="00E131FB">
              <w:rPr>
                <w:rFonts w:ascii="Calibri" w:hAnsi="Calibri" w:cs="Calibri"/>
                <w:sz w:val="18"/>
                <w:szCs w:val="18"/>
              </w:rPr>
              <w:t>situ</w:t>
            </w:r>
            <w:proofErr w:type="spellEnd"/>
            <w:r w:rsidRPr="00E131FB">
              <w:rPr>
                <w:rFonts w:ascii="Calibri" w:hAnsi="Calibri" w:cs="Calibri"/>
                <w:sz w:val="18"/>
                <w:szCs w:val="18"/>
              </w:rPr>
              <w:t xml:space="preserve">, hodnocení trhlin </w:t>
            </w:r>
            <w:r w:rsidRPr="00E131FB">
              <w:rPr>
                <w:rFonts w:ascii="Calibri" w:hAnsi="Calibri" w:cs="Calibri"/>
                <w:b/>
                <w:bCs/>
                <w:sz w:val="18"/>
                <w:szCs w:val="18"/>
              </w:rPr>
              <w:t>(PŠ)</w:t>
            </w:r>
          </w:p>
        </w:tc>
      </w:tr>
      <w:tr w:rsidR="00883623" w14:paraId="2DA15FCD" w14:textId="77777777" w:rsidTr="00221FD0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61D428" w14:textId="77777777" w:rsidR="00883623" w:rsidRPr="00E131FB" w:rsidRDefault="00883623" w:rsidP="00221FD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131FB">
              <w:rPr>
                <w:rFonts w:ascii="Calibri" w:hAnsi="Calibri" w:cs="Calibr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14EBA8" w14:textId="77777777" w:rsidR="00883623" w:rsidRPr="00E131FB" w:rsidRDefault="00883623" w:rsidP="00221FD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131FB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K</w:t>
            </w:r>
            <w:r w:rsidRPr="00E131FB">
              <w:rPr>
                <w:rFonts w:ascii="Calibri" w:hAnsi="Calibri" w:cs="Calibri"/>
                <w:b/>
                <w:bCs/>
                <w:sz w:val="18"/>
                <w:szCs w:val="18"/>
              </w:rPr>
              <w:t>oncepce obnovy stavebních památek II</w:t>
            </w:r>
            <w:r w:rsidRPr="00E131FB">
              <w:rPr>
                <w:rFonts w:ascii="Calibri" w:hAnsi="Calibri" w:cs="Calibri"/>
                <w:sz w:val="18"/>
                <w:szCs w:val="18"/>
              </w:rPr>
              <w:t xml:space="preserve"> – podmínky pro rekonstrukci, konzervaci nebo zhotovení replik staveb</w:t>
            </w:r>
            <w:r w:rsidRPr="00E131F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E131FB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(PŠ)</w:t>
            </w:r>
          </w:p>
        </w:tc>
      </w:tr>
      <w:tr w:rsidR="00883623" w14:paraId="31921088" w14:textId="77777777" w:rsidTr="00221FD0">
        <w:trPr>
          <w:trHeight w:val="76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E51829" w14:textId="77777777" w:rsidR="00883623" w:rsidRPr="00E131FB" w:rsidRDefault="00883623" w:rsidP="00221FD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131FB">
              <w:rPr>
                <w:rFonts w:ascii="Calibri" w:hAnsi="Calibri" w:cs="Calibr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CAAD2" w14:textId="77777777" w:rsidR="00883623" w:rsidRPr="00E131FB" w:rsidRDefault="00883623" w:rsidP="00221FD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131FB">
              <w:rPr>
                <w:rFonts w:ascii="Calibri" w:hAnsi="Calibri" w:cs="Calibri"/>
                <w:b/>
                <w:bCs/>
                <w:sz w:val="18"/>
                <w:szCs w:val="18"/>
              </w:rPr>
              <w:t>Základy metod restaurování stavebních památek a povrchu historické architektury II</w:t>
            </w:r>
            <w:r w:rsidRPr="00E131FB">
              <w:rPr>
                <w:rFonts w:ascii="Calibri" w:hAnsi="Calibri" w:cs="Calibri"/>
                <w:sz w:val="18"/>
                <w:szCs w:val="18"/>
              </w:rPr>
              <w:t xml:space="preserve">. Formulace opravných tmelů pro stavební a dekorativní prvky. Příprava syntetických tmelů na bázi syntetických pryskyřic, výhody a nebezpečí. Příprava minerálních tmelů a formy jejich použití. </w:t>
            </w:r>
            <w:r w:rsidRPr="00E131FB">
              <w:rPr>
                <w:rFonts w:ascii="Calibri" w:hAnsi="Calibri" w:cs="Calibri"/>
                <w:b/>
                <w:bCs/>
                <w:sz w:val="18"/>
                <w:szCs w:val="18"/>
              </w:rPr>
              <w:t>(PJ)</w:t>
            </w:r>
          </w:p>
        </w:tc>
      </w:tr>
      <w:tr w:rsidR="00883623" w14:paraId="72A55E82" w14:textId="77777777" w:rsidTr="00221FD0">
        <w:trPr>
          <w:trHeight w:val="96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910DDE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DDD09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3D dokumentace památkových objektů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metodami digitální fotogrammetrie, laserového skenování, dálkového průzkumu země (DPZ) a geofyzikálními metodami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georadar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magnetometr). Nízkonákladová dokumentace, monitorování a mapování menších celků pomocí RPAS, lidově zvaných drony.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(KP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883623" w14:paraId="60B5A7EC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27A2ED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24820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83623" w14:paraId="4C3F7F16" w14:textId="77777777" w:rsidTr="00221FD0">
        <w:trPr>
          <w:trHeight w:val="300"/>
        </w:trPr>
        <w:tc>
          <w:tcPr>
            <w:tcW w:w="9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3F800B2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Praktické ukázky (vždy v odpolední části výuky):</w:t>
            </w:r>
          </w:p>
        </w:tc>
      </w:tr>
      <w:tr w:rsidR="00883623" w14:paraId="164FA00C" w14:textId="77777777" w:rsidTr="00221FD0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FB4157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 8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71FC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Ukázky jednoduchých metod terénního průzkumu: Analýza zavlhčení, analýza zasolení. Citadela v Erbílu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(PŠ)</w:t>
            </w:r>
          </w:p>
        </w:tc>
      </w:tr>
      <w:tr w:rsidR="00883623" w14:paraId="4F4EAB8D" w14:textId="77777777" w:rsidTr="00221FD0">
        <w:trPr>
          <w:trHeight w:val="7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BBBB7D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 9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56B1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Ukázky jednoduchých metod obnovy stavebních památek. Použití malt na bázi sádry a hydraulického vápna, výběr vhodných malt a způsoby doplnění zdiva, spárování. Citadela v Erbílu (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PŠ)</w:t>
            </w:r>
          </w:p>
        </w:tc>
      </w:tr>
      <w:tr w:rsidR="00883623" w14:paraId="244A869A" w14:textId="77777777" w:rsidTr="00221FD0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18259A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 10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675591" w14:textId="77777777" w:rsidR="00883623" w:rsidRDefault="00883623" w:rsidP="00221F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Praktické ukázky – restaurátorského zásahu na vybraných autentických zlomcích, ukázky plastických a barevných retuší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(PJ)</w:t>
            </w:r>
          </w:p>
        </w:tc>
      </w:tr>
      <w:tr w:rsidR="00883623" w14:paraId="217A7F4D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1A7D36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 11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427475" w14:textId="77777777" w:rsidR="00883623" w:rsidRDefault="00883623" w:rsidP="00221F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Fotogrammetrie citadela v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Erbilu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Nahum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Alqoši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Šuši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(KP)</w:t>
            </w:r>
          </w:p>
        </w:tc>
      </w:tr>
      <w:tr w:rsidR="00883623" w14:paraId="5B092855" w14:textId="77777777" w:rsidTr="00221F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727BCB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Exkurze (1 den): 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41E40" w14:textId="77777777" w:rsidR="00883623" w:rsidRDefault="00883623" w:rsidP="00221FD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Alqosh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Šuš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– dokumentace památky (před realizací a po dokončení)</w:t>
            </w:r>
          </w:p>
        </w:tc>
      </w:tr>
      <w:tr w:rsidR="00883623" w14:paraId="3B576886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D2FBB" w14:textId="77777777" w:rsidR="00883623" w:rsidRDefault="00883623" w:rsidP="00221F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CCD28" w14:textId="77777777" w:rsidR="00883623" w:rsidRDefault="00883623" w:rsidP="00221FD0">
            <w:pPr>
              <w:rPr>
                <w:sz w:val="20"/>
                <w:szCs w:val="20"/>
              </w:rPr>
            </w:pPr>
          </w:p>
        </w:tc>
      </w:tr>
      <w:tr w:rsidR="00883623" w14:paraId="36DDD91C" w14:textId="77777777" w:rsidTr="00221FD0">
        <w:trPr>
          <w:trHeight w:val="49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2351B339" w14:textId="77777777" w:rsidR="00883623" w:rsidRDefault="00883623" w:rsidP="00221F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IV. Blok 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05563AF" w14:textId="77777777" w:rsidR="00883623" w:rsidRDefault="00883623" w:rsidP="00221F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Základy metod restaurování stavebních památek a povrchu historické architektury II., základy metod statického zabezpečení stavebních památek </w:t>
            </w:r>
          </w:p>
        </w:tc>
      </w:tr>
      <w:tr w:rsidR="00883623" w14:paraId="73DE1A52" w14:textId="77777777" w:rsidTr="00221FD0">
        <w:trPr>
          <w:trHeight w:val="24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7DEEB46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Délka trvání: </w:t>
            </w:r>
          </w:p>
        </w:tc>
        <w:tc>
          <w:tcPr>
            <w:tcW w:w="8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F4D00B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týden (4 dny výuka, 1,5 dne exkurze, 8 h/den = celkem 40 h)  </w:t>
            </w:r>
          </w:p>
        </w:tc>
      </w:tr>
      <w:tr w:rsidR="00883623" w14:paraId="790656E8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AA4C44F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Lektoři: 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14:paraId="0E0BE2BE" w14:textId="10B4678A" w:rsidR="00883623" w:rsidRDefault="005041E8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</w:t>
            </w:r>
            <w:bookmarkStart w:id="1" w:name="_GoBack"/>
            <w:bookmarkEnd w:id="1"/>
            <w:r w:rsidR="0088362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(NPÚ)</w:t>
            </w:r>
          </w:p>
        </w:tc>
      </w:tr>
      <w:tr w:rsidR="00883623" w14:paraId="082C1862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340F1DA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Témata: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8AFD80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83623" w14:paraId="35508A44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B01BFB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E1E62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Metodika průzkumu a koncepce opravy</w:t>
            </w:r>
          </w:p>
        </w:tc>
      </w:tr>
      <w:tr w:rsidR="00883623" w14:paraId="7AAAD978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D5256C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098E75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Stavebně technický průzkum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konstrukce, poruchy, dokumentace – Citadela</w:t>
            </w:r>
          </w:p>
        </w:tc>
      </w:tr>
      <w:tr w:rsidR="00883623" w14:paraId="4F458185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65CEED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0172A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Exkurze – Průzkum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dokumentace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karavansaraje</w:t>
            </w:r>
            <w:proofErr w:type="spellEnd"/>
          </w:p>
        </w:tc>
      </w:tr>
      <w:tr w:rsidR="00883623" w14:paraId="2DE137F1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86AE4C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D9716D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Analýza průzkumu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příčiny poruch, provizorní opatření</w:t>
            </w:r>
          </w:p>
        </w:tc>
      </w:tr>
      <w:tr w:rsidR="00883623" w14:paraId="7D381D9E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2BEE1F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5ADF60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Opravy nosných konstrukcí</w:t>
            </w:r>
          </w:p>
        </w:tc>
      </w:tr>
      <w:tr w:rsidR="00883623" w14:paraId="7542C5DC" w14:textId="77777777" w:rsidTr="00221FD0">
        <w:trPr>
          <w:trHeight w:val="19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D53BFE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6B7A61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83623" w14:paraId="226D253D" w14:textId="77777777" w:rsidTr="00221FD0">
        <w:trPr>
          <w:trHeight w:val="300"/>
        </w:trPr>
        <w:tc>
          <w:tcPr>
            <w:tcW w:w="9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DAD74F9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Praktické ukázky (vždy v odpolední části výuky): </w:t>
            </w:r>
          </w:p>
        </w:tc>
      </w:tr>
      <w:tr w:rsidR="00883623" w14:paraId="70C373F7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3A5227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 12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6E7676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Stavebně technický průzkum, konstrukce, poruchy, dokumentace</w:t>
            </w:r>
          </w:p>
        </w:tc>
      </w:tr>
      <w:tr w:rsidR="00883623" w14:paraId="1D30F8E6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44C88A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 13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CE08B7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Citadela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typy konstrukcí, dokumentace stav. tech. průzkumu</w:t>
            </w:r>
          </w:p>
        </w:tc>
      </w:tr>
      <w:tr w:rsidR="00883623" w14:paraId="2A5DD2A2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C94DAB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 14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B58937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Lališ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průzkum a dokumentace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karavansaraje</w:t>
            </w:r>
            <w:proofErr w:type="spellEnd"/>
          </w:p>
        </w:tc>
      </w:tr>
      <w:tr w:rsidR="00883623" w14:paraId="17120034" w14:textId="77777777" w:rsidTr="00221F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66478C" w14:textId="77777777" w:rsidR="00883623" w:rsidRDefault="00883623" w:rsidP="00221FD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Téma 15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D3B6A1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Koncepce opravy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nosných konstrukcí</w:t>
            </w:r>
          </w:p>
        </w:tc>
      </w:tr>
      <w:tr w:rsidR="00883623" w14:paraId="43C873F3" w14:textId="77777777" w:rsidTr="00221FD0">
        <w:trPr>
          <w:trHeight w:val="19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9E89D5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1A7A08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83623" w14:paraId="63E5F6B6" w14:textId="77777777" w:rsidTr="00221F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151275" w14:textId="77777777" w:rsidR="00883623" w:rsidRDefault="00883623" w:rsidP="00221F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Exkurze (1 den): 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202E5" w14:textId="77777777" w:rsidR="00883623" w:rsidRDefault="00883623" w:rsidP="00221F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Citadela v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Erbilu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Lališ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Karavansaraj</w:t>
            </w:r>
            <w:proofErr w:type="spellEnd"/>
          </w:p>
        </w:tc>
      </w:tr>
    </w:tbl>
    <w:p w14:paraId="75F35EBF" w14:textId="77777777" w:rsidR="00225C02" w:rsidRPr="00083C70" w:rsidRDefault="00225C02" w:rsidP="00225C02">
      <w:pPr>
        <w:rPr>
          <w:rFonts w:asciiTheme="minorHAnsi" w:hAnsiTheme="minorHAnsi"/>
          <w:b/>
          <w:sz w:val="18"/>
          <w:szCs w:val="18"/>
        </w:rPr>
      </w:pPr>
    </w:p>
    <w:sectPr w:rsidR="00225C02" w:rsidRPr="00083C70" w:rsidSect="00522F63">
      <w:headerReference w:type="default" r:id="rId14"/>
      <w:pgSz w:w="11906" w:h="16838" w:code="9"/>
      <w:pgMar w:top="1701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1C346" w14:textId="77777777" w:rsidR="008449CC" w:rsidRDefault="008449CC">
      <w:r>
        <w:separator/>
      </w:r>
    </w:p>
  </w:endnote>
  <w:endnote w:type="continuationSeparator" w:id="0">
    <w:p w14:paraId="365D4CD7" w14:textId="77777777" w:rsidR="008449CC" w:rsidRDefault="0084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087D7" w14:textId="77777777" w:rsidR="008449CC" w:rsidRDefault="008449CC">
      <w:r>
        <w:separator/>
      </w:r>
    </w:p>
  </w:footnote>
  <w:footnote w:type="continuationSeparator" w:id="0">
    <w:p w14:paraId="36D63E8A" w14:textId="77777777" w:rsidR="008449CC" w:rsidRDefault="0084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D0FA5" w14:textId="1B81356D" w:rsidR="00522F63" w:rsidRPr="00CE4CD8" w:rsidRDefault="00A27CA4">
    <w:pPr>
      <w:pStyle w:val="Zhlav"/>
      <w:rPr>
        <w:rFonts w:ascii="Calibri" w:hAnsi="Calibri"/>
        <w:sz w:val="20"/>
        <w:szCs w:val="20"/>
      </w:rPr>
    </w:pPr>
    <w:r w:rsidRPr="00CE4CD8">
      <w:rPr>
        <w:noProof/>
        <w:sz w:val="20"/>
        <w:szCs w:val="20"/>
      </w:rPr>
      <w:drawing>
        <wp:inline distT="0" distB="0" distL="0" distR="0" wp14:anchorId="7DB04460" wp14:editId="6E3C1A4C">
          <wp:extent cx="1771650" cy="485775"/>
          <wp:effectExtent l="0" t="0" r="0" b="0"/>
          <wp:docPr id="21" name="Obrázek 21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4CD8">
      <w:rPr>
        <w:rFonts w:ascii="Calibri" w:hAnsi="Calibri"/>
        <w:bCs/>
        <w:sz w:val="20"/>
        <w:szCs w:val="20"/>
      </w:rPr>
      <w:tab/>
    </w:r>
    <w:r w:rsidR="00CE4CD8">
      <w:rPr>
        <w:rFonts w:ascii="Calibri" w:hAnsi="Calibri"/>
        <w:bCs/>
        <w:sz w:val="20"/>
        <w:szCs w:val="20"/>
      </w:rPr>
      <w:tab/>
    </w:r>
    <w:r w:rsidR="00CE4CD8" w:rsidRPr="00CE4CD8">
      <w:rPr>
        <w:rFonts w:ascii="Calibri" w:hAnsi="Calibri"/>
        <w:bCs/>
        <w:sz w:val="20"/>
        <w:szCs w:val="20"/>
      </w:rPr>
      <w:t>NPU-310/65860/2021</w:t>
    </w:r>
    <w:r w:rsidR="00CE4CD8">
      <w:rPr>
        <w:rFonts w:ascii="Calibri" w:hAnsi="Calibri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B71E9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51C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17960"/>
    <w:rsid w:val="00020D38"/>
    <w:rsid w:val="00022617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3122"/>
    <w:rsid w:val="00083C70"/>
    <w:rsid w:val="000857B2"/>
    <w:rsid w:val="000867D6"/>
    <w:rsid w:val="000873F0"/>
    <w:rsid w:val="00095A83"/>
    <w:rsid w:val="00096461"/>
    <w:rsid w:val="000A2583"/>
    <w:rsid w:val="000A6E03"/>
    <w:rsid w:val="000B556C"/>
    <w:rsid w:val="000B5805"/>
    <w:rsid w:val="000C0C26"/>
    <w:rsid w:val="000D143E"/>
    <w:rsid w:val="000D3377"/>
    <w:rsid w:val="000E2D76"/>
    <w:rsid w:val="000E4529"/>
    <w:rsid w:val="000E56C1"/>
    <w:rsid w:val="000E5886"/>
    <w:rsid w:val="000F2B41"/>
    <w:rsid w:val="000F2E86"/>
    <w:rsid w:val="00101270"/>
    <w:rsid w:val="00103192"/>
    <w:rsid w:val="00103B86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30E"/>
    <w:rsid w:val="001567C6"/>
    <w:rsid w:val="00163DA8"/>
    <w:rsid w:val="001700DB"/>
    <w:rsid w:val="001738DB"/>
    <w:rsid w:val="00176D01"/>
    <w:rsid w:val="001777C5"/>
    <w:rsid w:val="0019446E"/>
    <w:rsid w:val="00195CFC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04089"/>
    <w:rsid w:val="0021007A"/>
    <w:rsid w:val="00215976"/>
    <w:rsid w:val="00215A79"/>
    <w:rsid w:val="0022461A"/>
    <w:rsid w:val="00225C02"/>
    <w:rsid w:val="0022780A"/>
    <w:rsid w:val="002326E1"/>
    <w:rsid w:val="0024001E"/>
    <w:rsid w:val="00244EF7"/>
    <w:rsid w:val="00247746"/>
    <w:rsid w:val="00252B24"/>
    <w:rsid w:val="00255E36"/>
    <w:rsid w:val="00256C0D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272F"/>
    <w:rsid w:val="00302E1E"/>
    <w:rsid w:val="00313693"/>
    <w:rsid w:val="003268F0"/>
    <w:rsid w:val="003432EF"/>
    <w:rsid w:val="00343AD0"/>
    <w:rsid w:val="003460AA"/>
    <w:rsid w:val="00371A54"/>
    <w:rsid w:val="003775CE"/>
    <w:rsid w:val="003831DD"/>
    <w:rsid w:val="00395D54"/>
    <w:rsid w:val="003A1D34"/>
    <w:rsid w:val="003B2738"/>
    <w:rsid w:val="003B2EF4"/>
    <w:rsid w:val="003B57D5"/>
    <w:rsid w:val="003B6EB8"/>
    <w:rsid w:val="003C04A9"/>
    <w:rsid w:val="003C7AFB"/>
    <w:rsid w:val="003D0B4A"/>
    <w:rsid w:val="003D39DE"/>
    <w:rsid w:val="003D5EED"/>
    <w:rsid w:val="003D614D"/>
    <w:rsid w:val="003E19BB"/>
    <w:rsid w:val="003E63FA"/>
    <w:rsid w:val="003F276D"/>
    <w:rsid w:val="003F2CCA"/>
    <w:rsid w:val="003F7C77"/>
    <w:rsid w:val="004005C7"/>
    <w:rsid w:val="00404BE3"/>
    <w:rsid w:val="00406FEE"/>
    <w:rsid w:val="0041131D"/>
    <w:rsid w:val="00411CAB"/>
    <w:rsid w:val="00416314"/>
    <w:rsid w:val="0042166D"/>
    <w:rsid w:val="004218A8"/>
    <w:rsid w:val="00423AF8"/>
    <w:rsid w:val="00425BD6"/>
    <w:rsid w:val="004304F2"/>
    <w:rsid w:val="004315B1"/>
    <w:rsid w:val="00436E85"/>
    <w:rsid w:val="004414F0"/>
    <w:rsid w:val="004416EB"/>
    <w:rsid w:val="004452B7"/>
    <w:rsid w:val="004519E3"/>
    <w:rsid w:val="0045355E"/>
    <w:rsid w:val="0046492A"/>
    <w:rsid w:val="00464D59"/>
    <w:rsid w:val="00466806"/>
    <w:rsid w:val="00473290"/>
    <w:rsid w:val="00473680"/>
    <w:rsid w:val="00476E5A"/>
    <w:rsid w:val="00485467"/>
    <w:rsid w:val="00491C32"/>
    <w:rsid w:val="00492EFA"/>
    <w:rsid w:val="004A1797"/>
    <w:rsid w:val="004A26F2"/>
    <w:rsid w:val="004A61DA"/>
    <w:rsid w:val="004B29A4"/>
    <w:rsid w:val="004B2BBF"/>
    <w:rsid w:val="004B312E"/>
    <w:rsid w:val="004B7DAE"/>
    <w:rsid w:val="004C60AE"/>
    <w:rsid w:val="004C751F"/>
    <w:rsid w:val="004C7753"/>
    <w:rsid w:val="004D0D90"/>
    <w:rsid w:val="004D190E"/>
    <w:rsid w:val="004D22C9"/>
    <w:rsid w:val="004D3B34"/>
    <w:rsid w:val="004E0D74"/>
    <w:rsid w:val="004E4E4F"/>
    <w:rsid w:val="004F0035"/>
    <w:rsid w:val="004F1154"/>
    <w:rsid w:val="00500872"/>
    <w:rsid w:val="005014A4"/>
    <w:rsid w:val="005041E8"/>
    <w:rsid w:val="005077FD"/>
    <w:rsid w:val="0050783D"/>
    <w:rsid w:val="00513E9B"/>
    <w:rsid w:val="00520C51"/>
    <w:rsid w:val="0052278A"/>
    <w:rsid w:val="00522F63"/>
    <w:rsid w:val="00526840"/>
    <w:rsid w:val="00527920"/>
    <w:rsid w:val="005324CD"/>
    <w:rsid w:val="00532C8C"/>
    <w:rsid w:val="00533F8F"/>
    <w:rsid w:val="005365CB"/>
    <w:rsid w:val="00537823"/>
    <w:rsid w:val="00537CB4"/>
    <w:rsid w:val="00540B93"/>
    <w:rsid w:val="0054486C"/>
    <w:rsid w:val="00551EE3"/>
    <w:rsid w:val="005532C5"/>
    <w:rsid w:val="00560D18"/>
    <w:rsid w:val="00564A72"/>
    <w:rsid w:val="005677E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E302B"/>
    <w:rsid w:val="005F18AA"/>
    <w:rsid w:val="005F7905"/>
    <w:rsid w:val="006015E6"/>
    <w:rsid w:val="006104E2"/>
    <w:rsid w:val="00610BF5"/>
    <w:rsid w:val="00610F46"/>
    <w:rsid w:val="0061266A"/>
    <w:rsid w:val="00613E10"/>
    <w:rsid w:val="00615677"/>
    <w:rsid w:val="00632494"/>
    <w:rsid w:val="00633DC5"/>
    <w:rsid w:val="00645389"/>
    <w:rsid w:val="006458DC"/>
    <w:rsid w:val="00651957"/>
    <w:rsid w:val="0065340B"/>
    <w:rsid w:val="00653E64"/>
    <w:rsid w:val="00660AD6"/>
    <w:rsid w:val="0066458A"/>
    <w:rsid w:val="00672BA0"/>
    <w:rsid w:val="0067360F"/>
    <w:rsid w:val="00680976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C793D"/>
    <w:rsid w:val="006D2246"/>
    <w:rsid w:val="006D4969"/>
    <w:rsid w:val="006D5D72"/>
    <w:rsid w:val="006D7E95"/>
    <w:rsid w:val="006E04B2"/>
    <w:rsid w:val="006E4A78"/>
    <w:rsid w:val="006E6690"/>
    <w:rsid w:val="006F4C2E"/>
    <w:rsid w:val="00711BE4"/>
    <w:rsid w:val="007129E6"/>
    <w:rsid w:val="0071335B"/>
    <w:rsid w:val="00725E30"/>
    <w:rsid w:val="00726043"/>
    <w:rsid w:val="0072793D"/>
    <w:rsid w:val="00730B15"/>
    <w:rsid w:val="00733911"/>
    <w:rsid w:val="00737509"/>
    <w:rsid w:val="0073795E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486"/>
    <w:rsid w:val="00782707"/>
    <w:rsid w:val="00783ACF"/>
    <w:rsid w:val="00784F79"/>
    <w:rsid w:val="00785E2C"/>
    <w:rsid w:val="00790333"/>
    <w:rsid w:val="007A76CF"/>
    <w:rsid w:val="007B0BAF"/>
    <w:rsid w:val="007B57F9"/>
    <w:rsid w:val="007C1273"/>
    <w:rsid w:val="007C2810"/>
    <w:rsid w:val="007E031C"/>
    <w:rsid w:val="007E6E19"/>
    <w:rsid w:val="007F0536"/>
    <w:rsid w:val="007F60C5"/>
    <w:rsid w:val="007F680C"/>
    <w:rsid w:val="007F6FDA"/>
    <w:rsid w:val="008000CF"/>
    <w:rsid w:val="00802B1C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49CC"/>
    <w:rsid w:val="00847E69"/>
    <w:rsid w:val="00853B53"/>
    <w:rsid w:val="00857790"/>
    <w:rsid w:val="00857836"/>
    <w:rsid w:val="00862812"/>
    <w:rsid w:val="00863F7F"/>
    <w:rsid w:val="0086467F"/>
    <w:rsid w:val="0086585B"/>
    <w:rsid w:val="00866531"/>
    <w:rsid w:val="008665B6"/>
    <w:rsid w:val="008731A2"/>
    <w:rsid w:val="008747B2"/>
    <w:rsid w:val="00876476"/>
    <w:rsid w:val="008769DA"/>
    <w:rsid w:val="00883623"/>
    <w:rsid w:val="00884142"/>
    <w:rsid w:val="00890F7B"/>
    <w:rsid w:val="00896AE0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E16BA"/>
    <w:rsid w:val="008F1CB8"/>
    <w:rsid w:val="008F33B4"/>
    <w:rsid w:val="008F4043"/>
    <w:rsid w:val="008F4E11"/>
    <w:rsid w:val="0090116D"/>
    <w:rsid w:val="00905708"/>
    <w:rsid w:val="00906E5C"/>
    <w:rsid w:val="0091402B"/>
    <w:rsid w:val="009174D6"/>
    <w:rsid w:val="00926779"/>
    <w:rsid w:val="00927490"/>
    <w:rsid w:val="009324F3"/>
    <w:rsid w:val="0093363B"/>
    <w:rsid w:val="0093786B"/>
    <w:rsid w:val="00945B05"/>
    <w:rsid w:val="00945F74"/>
    <w:rsid w:val="00954E56"/>
    <w:rsid w:val="00957E41"/>
    <w:rsid w:val="00961B96"/>
    <w:rsid w:val="00967A84"/>
    <w:rsid w:val="00991579"/>
    <w:rsid w:val="009923DD"/>
    <w:rsid w:val="00992955"/>
    <w:rsid w:val="009A01A9"/>
    <w:rsid w:val="009A05F6"/>
    <w:rsid w:val="009A1284"/>
    <w:rsid w:val="009A57DF"/>
    <w:rsid w:val="009A79EC"/>
    <w:rsid w:val="009B0B1A"/>
    <w:rsid w:val="009B3C60"/>
    <w:rsid w:val="009B5503"/>
    <w:rsid w:val="009B6AC2"/>
    <w:rsid w:val="009C4B2F"/>
    <w:rsid w:val="009C4CFE"/>
    <w:rsid w:val="009C608C"/>
    <w:rsid w:val="009E5C95"/>
    <w:rsid w:val="009E6CFF"/>
    <w:rsid w:val="009F089A"/>
    <w:rsid w:val="00A017E1"/>
    <w:rsid w:val="00A12FF5"/>
    <w:rsid w:val="00A17376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A2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078E"/>
    <w:rsid w:val="00B14A2C"/>
    <w:rsid w:val="00B16335"/>
    <w:rsid w:val="00B17F29"/>
    <w:rsid w:val="00B33064"/>
    <w:rsid w:val="00B334F0"/>
    <w:rsid w:val="00B3407C"/>
    <w:rsid w:val="00B37387"/>
    <w:rsid w:val="00B40996"/>
    <w:rsid w:val="00B427DF"/>
    <w:rsid w:val="00B45396"/>
    <w:rsid w:val="00B455DB"/>
    <w:rsid w:val="00B45741"/>
    <w:rsid w:val="00B45CE6"/>
    <w:rsid w:val="00B4605E"/>
    <w:rsid w:val="00B4752E"/>
    <w:rsid w:val="00B55346"/>
    <w:rsid w:val="00B56094"/>
    <w:rsid w:val="00B6100C"/>
    <w:rsid w:val="00B64DBB"/>
    <w:rsid w:val="00B71109"/>
    <w:rsid w:val="00B808FB"/>
    <w:rsid w:val="00B91178"/>
    <w:rsid w:val="00B94574"/>
    <w:rsid w:val="00BA35D0"/>
    <w:rsid w:val="00BB6156"/>
    <w:rsid w:val="00BC1D4B"/>
    <w:rsid w:val="00BD0809"/>
    <w:rsid w:val="00BD1FE5"/>
    <w:rsid w:val="00BD2A43"/>
    <w:rsid w:val="00BD2D62"/>
    <w:rsid w:val="00BD37AB"/>
    <w:rsid w:val="00BD43F6"/>
    <w:rsid w:val="00BD7BB7"/>
    <w:rsid w:val="00BE3FBC"/>
    <w:rsid w:val="00BE7BF3"/>
    <w:rsid w:val="00BF44F3"/>
    <w:rsid w:val="00BF5840"/>
    <w:rsid w:val="00BF6273"/>
    <w:rsid w:val="00BF7B94"/>
    <w:rsid w:val="00C01B66"/>
    <w:rsid w:val="00C07872"/>
    <w:rsid w:val="00C10CF4"/>
    <w:rsid w:val="00C2358B"/>
    <w:rsid w:val="00C24EA2"/>
    <w:rsid w:val="00C409FB"/>
    <w:rsid w:val="00C41B8B"/>
    <w:rsid w:val="00C50925"/>
    <w:rsid w:val="00C50BEC"/>
    <w:rsid w:val="00C50C05"/>
    <w:rsid w:val="00C56250"/>
    <w:rsid w:val="00C61028"/>
    <w:rsid w:val="00C641D9"/>
    <w:rsid w:val="00C67708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E4CD8"/>
    <w:rsid w:val="00CF1C5A"/>
    <w:rsid w:val="00CF4993"/>
    <w:rsid w:val="00D04BC7"/>
    <w:rsid w:val="00D2180B"/>
    <w:rsid w:val="00D24BA9"/>
    <w:rsid w:val="00D2734F"/>
    <w:rsid w:val="00D30B3A"/>
    <w:rsid w:val="00D31B37"/>
    <w:rsid w:val="00D31C61"/>
    <w:rsid w:val="00D35EC7"/>
    <w:rsid w:val="00D363C0"/>
    <w:rsid w:val="00D36CA8"/>
    <w:rsid w:val="00D37F69"/>
    <w:rsid w:val="00D43550"/>
    <w:rsid w:val="00D57001"/>
    <w:rsid w:val="00D573FD"/>
    <w:rsid w:val="00D63246"/>
    <w:rsid w:val="00D82033"/>
    <w:rsid w:val="00D84709"/>
    <w:rsid w:val="00D85362"/>
    <w:rsid w:val="00D8586E"/>
    <w:rsid w:val="00D87180"/>
    <w:rsid w:val="00D87F62"/>
    <w:rsid w:val="00D90A22"/>
    <w:rsid w:val="00DA5EB8"/>
    <w:rsid w:val="00DC206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E0D45"/>
    <w:rsid w:val="00DE79D7"/>
    <w:rsid w:val="00DF1A9C"/>
    <w:rsid w:val="00DF2F60"/>
    <w:rsid w:val="00DF5FDD"/>
    <w:rsid w:val="00DF6FB3"/>
    <w:rsid w:val="00E0348E"/>
    <w:rsid w:val="00E131FB"/>
    <w:rsid w:val="00E1611A"/>
    <w:rsid w:val="00E1659C"/>
    <w:rsid w:val="00E17B9C"/>
    <w:rsid w:val="00E25B49"/>
    <w:rsid w:val="00E30619"/>
    <w:rsid w:val="00E30A2D"/>
    <w:rsid w:val="00E313B1"/>
    <w:rsid w:val="00E36DC2"/>
    <w:rsid w:val="00E37C3F"/>
    <w:rsid w:val="00E44BB1"/>
    <w:rsid w:val="00E52D67"/>
    <w:rsid w:val="00E53BE7"/>
    <w:rsid w:val="00E636A8"/>
    <w:rsid w:val="00E66977"/>
    <w:rsid w:val="00E74B14"/>
    <w:rsid w:val="00E767E6"/>
    <w:rsid w:val="00E93AA3"/>
    <w:rsid w:val="00EA0C6F"/>
    <w:rsid w:val="00EA1463"/>
    <w:rsid w:val="00EA3D11"/>
    <w:rsid w:val="00EA7EBB"/>
    <w:rsid w:val="00EB044F"/>
    <w:rsid w:val="00EC2497"/>
    <w:rsid w:val="00ED0317"/>
    <w:rsid w:val="00ED569B"/>
    <w:rsid w:val="00ED7898"/>
    <w:rsid w:val="00ED7EC5"/>
    <w:rsid w:val="00EE2BCD"/>
    <w:rsid w:val="00EE665F"/>
    <w:rsid w:val="00EE672F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1FA5"/>
    <w:rsid w:val="00F73030"/>
    <w:rsid w:val="00F87B43"/>
    <w:rsid w:val="00F90972"/>
    <w:rsid w:val="00F9799B"/>
    <w:rsid w:val="00FA3A99"/>
    <w:rsid w:val="00FB4E33"/>
    <w:rsid w:val="00FB4F15"/>
    <w:rsid w:val="00FC2B99"/>
    <w:rsid w:val="00FC3293"/>
    <w:rsid w:val="00FC507F"/>
    <w:rsid w:val="00FC7419"/>
    <w:rsid w:val="00FD16BC"/>
    <w:rsid w:val="00FD198F"/>
    <w:rsid w:val="00FD3114"/>
    <w:rsid w:val="00FD490F"/>
    <w:rsid w:val="00FD4F02"/>
    <w:rsid w:val="00FD7BA2"/>
    <w:rsid w:val="00FE43AC"/>
    <w:rsid w:val="00FE51A6"/>
    <w:rsid w:val="00FE7335"/>
    <w:rsid w:val="00FF2012"/>
    <w:rsid w:val="00FF3437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61D1F8B1"/>
  <w15:docId w15:val="{3DCF71A5-D72F-4C29-950E-BDA0622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character" w:customStyle="1" w:styleId="preformatted">
    <w:name w:val="preformatted"/>
    <w:basedOn w:val="Standardnpsmoodstavce"/>
    <w:rsid w:val="009C4B2F"/>
  </w:style>
  <w:style w:type="character" w:customStyle="1" w:styleId="nowrap">
    <w:name w:val="nowrap"/>
    <w:basedOn w:val="Standardnpsmoodstavce"/>
    <w:rsid w:val="009C4B2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5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BCA683-CCD0-472C-896E-B5BDCF2C9EB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7D90B27-A11B-4E7F-84F7-28388D5C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37</TotalTime>
  <Pages>6</Pages>
  <Words>2383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16413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Janouchová Miroslava</cp:lastModifiedBy>
  <cp:revision>4</cp:revision>
  <cp:lastPrinted>2019-07-11T07:25:00Z</cp:lastPrinted>
  <dcterms:created xsi:type="dcterms:W3CDTF">2021-08-11T12:35:00Z</dcterms:created>
  <dcterms:modified xsi:type="dcterms:W3CDTF">2021-08-17T06:08:00Z</dcterms:modified>
</cp:coreProperties>
</file>