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634"/>
        <w:gridCol w:w="1819"/>
        <w:gridCol w:w="2261"/>
        <w:gridCol w:w="2563"/>
        <w:gridCol w:w="3734"/>
      </w:tblGrid>
      <w:tr>
        <w:trPr>
          <w:trHeight w:val="326" w:hRule="exact"/>
        </w:trPr>
        <w:tc>
          <w:tcPr>
            <w:gridSpan w:val="5"/>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Příloha č. 1 Technická specifikace - parametry (aktualizace přílohy č. 1b kupní smlouvy)</w:t>
            </w:r>
          </w:p>
        </w:tc>
      </w:tr>
      <w:tr>
        <w:trPr>
          <w:trHeight w:val="365" w:hRule="exact"/>
        </w:trPr>
        <w:tc>
          <w:tcPr>
            <w:gridSpan w:val="5"/>
            <w:tcBorders>
              <w:top w:val="single" w:sz="4"/>
              <w:left w:val="single" w:sz="4"/>
              <w:right w:val="single" w:sz="4"/>
            </w:tcBorders>
            <w:shd w:val="clear" w:color="auto" w:fill="92D14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Kompletní dodávka posuvné kompaktní regálové sestavy</w:t>
            </w:r>
          </w:p>
        </w:tc>
      </w:tr>
      <w:tr>
        <w:trPr>
          <w:trHeight w:val="350" w:hRule="exact"/>
        </w:trPr>
        <w:tc>
          <w:tcPr>
            <w:gridSpan w:val="3"/>
            <w:tcBorders>
              <w:top w:val="single" w:sz="4"/>
              <w:left w:val="single" w:sz="4"/>
            </w:tcBorders>
            <w:shd w:val="clear" w:color="auto" w:fill="BFBFB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Požadavky zadavatele (Kupujícího)</w:t>
            </w:r>
          </w:p>
        </w:tc>
        <w:tc>
          <w:tcPr>
            <w:gridSpan w:val="2"/>
            <w:tcBorders>
              <w:top w:val="single" w:sz="4"/>
              <w:left w:val="single" w:sz="4"/>
              <w:right w:val="single" w:sz="4"/>
            </w:tcBorders>
            <w:shd w:val="clear" w:color="auto" w:fill="F9BF8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Nabídka dodavatele (Prodávajícího)</w:t>
            </w:r>
          </w:p>
        </w:tc>
      </w:tr>
      <w:tr>
        <w:trPr>
          <w:trHeight w:val="341" w:hRule="exact"/>
        </w:trPr>
        <w:tc>
          <w:tcPr>
            <w:gridSpan w:val="2"/>
            <w:tcBorders>
              <w:top w:val="single" w:sz="4"/>
              <w:left w:val="single" w:sz="4"/>
            </w:tcBorders>
            <w:shd w:val="clear" w:color="auto" w:fill="BFBFB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Parametr</w:t>
            </w:r>
          </w:p>
        </w:tc>
        <w:tc>
          <w:tcPr>
            <w:tcBorders>
              <w:top w:val="single" w:sz="4"/>
              <w:left w:val="single" w:sz="4"/>
            </w:tcBorders>
            <w:shd w:val="clear" w:color="auto" w:fill="BFBFB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Požadavek Zadavatele (Kupujícího)</w:t>
            </w:r>
          </w:p>
        </w:tc>
        <w:tc>
          <w:tcPr>
            <w:tcBorders>
              <w:top w:val="single" w:sz="4"/>
              <w:left w:val="single" w:sz="4"/>
            </w:tcBorders>
            <w:shd w:val="clear" w:color="auto" w:fill="F9BF8F"/>
            <w:vAlign w:val="bottom"/>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Způsob popisu splnění / nesplnění požadavku</w:t>
            </w:r>
          </w:p>
        </w:tc>
        <w:tc>
          <w:tcPr>
            <w:tcBorders>
              <w:top w:val="single" w:sz="4"/>
              <w:left w:val="single" w:sz="4"/>
              <w:right w:val="single" w:sz="4"/>
            </w:tcBorders>
            <w:shd w:val="clear" w:color="auto" w:fill="F9BF8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Konkrétní popis splnění požadavku (vyplňuje Prodávající)</w:t>
            </w:r>
          </w:p>
        </w:tc>
      </w:tr>
      <w:tr>
        <w:trPr>
          <w:trHeight w:val="278"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hd w:val="clear" w:color="auto" w:fill="auto"/>
                <w:lang w:val="cs-CZ" w:eastAsia="cs-CZ" w:bidi="cs-CZ"/>
              </w:rPr>
              <w:t>1</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Obchodní označení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Pouze uvést obchodní označení.</w:t>
            </w:r>
          </w:p>
        </w:tc>
        <w:tc>
          <w:tcPr>
            <w:tcBorders>
              <w:top w:val="single" w:sz="4"/>
              <w:left w:val="single" w:sz="4"/>
            </w:tcBorders>
            <w:shd w:val="clear" w:color="auto" w:fill="D9D9D9"/>
            <w:vAlign w:val="top"/>
          </w:tcPr>
          <w:p>
            <w:pPr>
              <w:widowControl w:val="0"/>
              <w:rPr>
                <w:sz w:val="10"/>
                <w:szCs w:val="10"/>
              </w:rPr>
            </w:pPr>
          </w:p>
        </w:tc>
        <w:tc>
          <w:tcPr>
            <w:tcBorders>
              <w:top w:val="single" w:sz="4"/>
              <w:left w:val="single" w:sz="4"/>
              <w:righ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Firma Beg Bohemia - regálový systém Begflex</w:t>
            </w:r>
          </w:p>
        </w:tc>
      </w:tr>
      <w:tr>
        <w:trPr>
          <w:trHeight w:val="730"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hd w:val="clear" w:color="auto" w:fill="auto"/>
                <w:lang w:val="cs-CZ" w:eastAsia="cs-CZ" w:bidi="cs-CZ"/>
              </w:rPr>
              <w:t>2</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Kapacita regálové sestavy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Min. 440 bm: počítáno pro archivní krabice a způsob jejich uložení definovaný v zadávací dokumentaci</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500 bm</w:t>
            </w:r>
          </w:p>
        </w:tc>
      </w:tr>
      <w:tr>
        <w:trPr>
          <w:trHeight w:val="734"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hd w:val="clear" w:color="auto" w:fill="auto"/>
                <w:lang w:val="cs-CZ" w:eastAsia="cs-CZ" w:bidi="cs-CZ"/>
              </w:rPr>
              <w:t>3</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Kombinace posuvného regálového systému a stacionárních regálových sestav</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ANO: Nutnost kombinace posuvného regálového systému a stacionárních regálových sestav</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547"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hd w:val="clear" w:color="auto" w:fill="auto"/>
                <w:lang w:val="cs-CZ" w:eastAsia="cs-CZ" w:bidi="cs-CZ"/>
              </w:rPr>
              <w:t>4</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Počet samostatně posuvných regálových vozů</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min. 15 samostatně posuvných regálových vozů</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20ks</w:t>
            </w:r>
          </w:p>
        </w:tc>
      </w:tr>
      <w:tr>
        <w:trPr>
          <w:trHeight w:val="1282"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hd w:val="clear" w:color="auto" w:fill="auto"/>
                <w:lang w:val="cs-CZ" w:eastAsia="cs-CZ" w:bidi="cs-CZ"/>
              </w:rPr>
              <w:t>5</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Maximální výška vozu regálové sestavy (i s instalovou pochozí podlahou a kolejnicovým systémem při zachování odstupu 500 mm od stropu)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max. 1960 mm</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1945 mm</w:t>
            </w:r>
          </w:p>
        </w:tc>
      </w:tr>
      <w:tr>
        <w:trPr>
          <w:trHeight w:val="365"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hd w:val="clear" w:color="auto" w:fill="auto"/>
                <w:lang w:val="cs-CZ" w:eastAsia="cs-CZ" w:bidi="cs-CZ"/>
              </w:rPr>
              <w:t>6</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Maximální délka vozu regálové sestavy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max. 3100 mm</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2840 mm</w:t>
            </w:r>
          </w:p>
        </w:tc>
      </w:tr>
      <w:tr>
        <w:trPr>
          <w:trHeight w:val="365"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hd w:val="clear" w:color="auto" w:fill="auto"/>
                <w:lang w:val="cs-CZ" w:eastAsia="cs-CZ" w:bidi="cs-CZ"/>
              </w:rPr>
              <w:t>7</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Maximální šíře vozu regálové sestavy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max. 630 mm</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610 mm</w:t>
            </w:r>
          </w:p>
        </w:tc>
      </w:tr>
      <w:tr>
        <w:trPr>
          <w:trHeight w:val="730"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hd w:val="clear" w:color="auto" w:fill="auto"/>
                <w:lang w:val="cs-CZ" w:eastAsia="cs-CZ" w:bidi="cs-CZ"/>
              </w:rPr>
              <w:t>8</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Minimální šíře uličky mezi regálovými vozy a radiátory na protější stěně</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min. 1000 mm</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1002 mm</w:t>
            </w:r>
          </w:p>
        </w:tc>
      </w:tr>
      <w:tr>
        <w:trPr>
          <w:trHeight w:val="365"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hd w:val="clear" w:color="auto" w:fill="auto"/>
                <w:lang w:val="cs-CZ" w:eastAsia="cs-CZ" w:bidi="cs-CZ"/>
              </w:rPr>
              <w:t>9</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Nosnost každé jednotlivé police v regálové sestavě</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min. 100 kg</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115 kg</w:t>
            </w:r>
          </w:p>
        </w:tc>
      </w:tr>
      <w:tr>
        <w:trPr>
          <w:trHeight w:val="547"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10</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Maximální počet sloupců v jednom posuvném regálovém voze</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max. 3 sloupce</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r>
      <w:tr>
        <w:trPr>
          <w:trHeight w:val="240"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11</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Hloubka polic</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min. 300 mm, max. 330 mm</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 mm</w:t>
            </w:r>
          </w:p>
        </w:tc>
      </w:tr>
      <w:tr>
        <w:trPr>
          <w:trHeight w:val="254"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12</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Světlost polic</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min. 330 mm</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375 mm</w:t>
            </w:r>
          </w:p>
        </w:tc>
      </w:tr>
      <w:tr>
        <w:trPr>
          <w:trHeight w:val="1094"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13</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Minimální šíře manipulačního prostoru, který lze posunem regálových vozů vytvořit mezi každou dvojicí regálů</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min. 1000 mm</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 mm</w:t>
            </w:r>
          </w:p>
        </w:tc>
      </w:tr>
      <w:tr>
        <w:trPr>
          <w:trHeight w:val="734"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14</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Samostatná výšková přenastavitelnost každé jednotlivé police v celé výši sloupce</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ANO</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547"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15</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Velikost kroku výškové přenastavitelnosti polic ve sloupci</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min. po 15 mm a max. po 25 mm, a to každá police samostatně</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25 mm</w:t>
            </w:r>
          </w:p>
        </w:tc>
      </w:tr>
      <w:tr>
        <w:trPr>
          <w:trHeight w:val="730"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16</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Jednotlivé sloupce v regálu jsou různé vysoké</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ANO: z důvodu zkoseného stropu a maximální efektivity využití prostoru je vyžadována různá výše sloupců v regálovém voze</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1099"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17</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Počet plně obsazených samostatně posuvných regálů, které lze pomocí jednoho posuvného regálu posunovat společně</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Všechny posuvné regálové vozy lze posunout mechanicky jedním zaměstnancem/zaměstnankyní najednou</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top"/>
          </w:tcPr>
          <w:p>
            <w:pPr>
              <w:widowControl w:val="0"/>
              <w:rPr>
                <w:sz w:val="10"/>
                <w:szCs w:val="10"/>
              </w:rPr>
            </w:pPr>
          </w:p>
        </w:tc>
      </w:tr>
      <w:tr>
        <w:trPr>
          <w:trHeight w:val="1838" w:hRule="exact"/>
        </w:trPr>
        <w:tc>
          <w:tcPr>
            <w:tcBorders>
              <w:top w:val="single" w:sz="4"/>
              <w:left w:val="single" w:sz="4"/>
              <w:bottom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18</w:t>
            </w:r>
          </w:p>
        </w:tc>
        <w:tc>
          <w:tcPr>
            <w:tcBorders>
              <w:top w:val="single" w:sz="4"/>
              <w:left w:val="single" w:sz="4"/>
              <w:bottom w:val="single" w:sz="4"/>
            </w:tcBorders>
            <w:shd w:val="clear" w:color="auto" w:fill="D9D9D9"/>
            <w:vAlign w:val="center"/>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Aretace posuvu každého posuvného regálového vozu</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ANO:</w:t>
            </w:r>
          </w:p>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Mechanické zajištění jednotlivých regálových vozů proti samovolnému posunu. Vizuální indikace provedené aretace (např. vyskočený/zamáčknutý knoflík). Aretace se provádí na čele jednotlivých posuvných regálových vozů směrem do manipulační uličky.</w:t>
            </w:r>
          </w:p>
        </w:tc>
        <w:tc>
          <w:tcPr>
            <w:tcBorders>
              <w:top w:val="single" w:sz="4"/>
              <w:left w:val="single" w:sz="4"/>
              <w:bottom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D9D9D9"/>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34"/>
        <w:gridCol w:w="1819"/>
        <w:gridCol w:w="2261"/>
        <w:gridCol w:w="2563"/>
        <w:gridCol w:w="3734"/>
      </w:tblGrid>
      <w:tr>
        <w:trPr>
          <w:trHeight w:val="1819"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19</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Všechny posuvné regálové vozy se samostatným uzamykáním</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ANO:</w:t>
            </w:r>
          </w:p>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Pro dokumenty s důvěrnými dokumenty vyžadována možnost uzamykání. Zamčení znemožní posun regálového vozu. Každý regálový vůz má samostatný zámek. Každý zámek má jedinečný klíč (dodavaný ve dvojím vyhotovení)</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893"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20</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Počet regálových vozů, které mají pevné přepážky mezi všemi policemi přístupnými z jedné a druhé strany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ANO:</w:t>
            </w:r>
          </w:p>
          <w:p>
            <w:pPr>
              <w:pStyle w:val="Style2"/>
              <w:keepNext w:val="0"/>
              <w:keepLines w:val="0"/>
              <w:widowControl w:val="0"/>
              <w:shd w:val="clear" w:color="auto" w:fill="auto"/>
              <w:bidi w:val="0"/>
              <w:spacing w:before="0" w:after="0" w:line="259" w:lineRule="auto"/>
              <w:ind w:left="500" w:right="0" w:hanging="500"/>
              <w:jc w:val="both"/>
            </w:pPr>
            <w:r>
              <w:rPr>
                <w:spacing w:val="0"/>
                <w:w w:val="100"/>
                <w:position w:val="0"/>
                <w:shd w:val="clear" w:color="auto" w:fill="auto"/>
                <w:lang w:val="cs-CZ" w:eastAsia="cs-CZ" w:bidi="cs-CZ"/>
              </w:rPr>
              <w:t>4 posuvné regálové vozy za sebou od zadní stěny místnosti</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 ks</w:t>
            </w:r>
          </w:p>
        </w:tc>
      </w:tr>
      <w:tr>
        <w:trPr>
          <w:trHeight w:val="898"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21</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Horní zaklopení všech sloupců posuvných i stacionárního regálů pevnou neperforovanou policí</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ANO</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547"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22</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Čelní rámy opatřeny okénky (clip rámy) pro popisky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ANO/NE:</w:t>
            </w:r>
          </w:p>
          <w:p>
            <w:pPr>
              <w:pStyle w:val="Style2"/>
              <w:keepNext w:val="0"/>
              <w:keepLines w:val="0"/>
              <w:widowControl w:val="0"/>
              <w:shd w:val="clear" w:color="auto" w:fill="auto"/>
              <w:bidi w:val="0"/>
              <w:spacing w:before="0" w:after="0" w:line="259" w:lineRule="auto"/>
              <w:ind w:left="640" w:right="0" w:hanging="640"/>
              <w:jc w:val="both"/>
            </w:pPr>
            <w:r>
              <w:rPr>
                <w:spacing w:val="0"/>
                <w:w w:val="100"/>
                <w:position w:val="0"/>
                <w:shd w:val="clear" w:color="auto" w:fill="auto"/>
                <w:lang w:val="cs-CZ" w:eastAsia="cs-CZ" w:bidi="cs-CZ"/>
              </w:rPr>
              <w:t>Nutné označení obsahu jednotlivých regálových vozů</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734"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23</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Počet odnímatelných zarážek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Počet min. 200 kusů zarážek vhodných pro zajištění polohy plných archivných krabic dle zadávací dokumentace</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 ks</w:t>
            </w:r>
          </w:p>
        </w:tc>
      </w:tr>
      <w:tr>
        <w:trPr>
          <w:trHeight w:val="365"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24</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300"/>
              <w:jc w:val="both"/>
            </w:pPr>
            <w:r>
              <w:rPr>
                <w:b/>
                <w:bCs/>
                <w:color w:val="000000"/>
                <w:spacing w:val="0"/>
                <w:w w:val="100"/>
                <w:position w:val="0"/>
                <w:shd w:val="clear" w:color="auto" w:fill="auto"/>
                <w:lang w:val="cs-CZ" w:eastAsia="cs-CZ" w:bidi="cs-CZ"/>
              </w:rPr>
              <w:t>Ochrana protikorozi</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320" w:right="0" w:hanging="320"/>
              <w:jc w:val="both"/>
            </w:pPr>
            <w:r>
              <w:rPr>
                <w:spacing w:val="0"/>
                <w:w w:val="100"/>
                <w:position w:val="0"/>
                <w:shd w:val="clear" w:color="auto" w:fill="auto"/>
                <w:lang w:val="cs-CZ" w:eastAsia="cs-CZ" w:bidi="cs-CZ"/>
              </w:rPr>
              <w:t>ANO: všechny části podléhající korozi jsou ochráněny protikorozi</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730"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25</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Povrchová úprava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Uvést typ povrchové úpravy regálů včetně RAL barvy, pokud je aplikována, a druhu protikorozní úpravy</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RAL7035;RAL7037; podvozky černá RAL 7021</w:t>
            </w:r>
          </w:p>
        </w:tc>
      </w:tr>
      <w:tr>
        <w:trPr>
          <w:trHeight w:val="1282"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26</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Různé barevné odlišení posuvných a stacionárních regálu</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ANO: čela všech regálů je možné ve dvou různých barvách (případně i stupních šedi) pro odlišení sudých a lichých regálů. Volbu barev provede kupující dle nabídky variant prodávajícího dle zadávacích podmínek.</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547"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27</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Jednotné barevné provedení ostatních komponentů</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ANO: vyjma barevné odlišenosti dle předchozí podmínky jsou ostatní části ve stejné barvě</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1594"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28</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Dva kusy skládacích manipulačních schůdků</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ANO: skládací manipulační schůdky z Al materiálu pro zajištění přístupu do nejvyšších polic při manipulaci s archivními krabicemi. Minimální výška nejvyššího stupně schodnice určené pro stání a manipulaci je 600 mm - viz specifikace schůdků v záložkách</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734"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29</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Dodání dokumentace s návodem na obsluhu, provozní dokumentace a zaškolení zaměstnanců</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ANO: v rozsahu stanoveném v zadávací dokumentaci</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2194"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30</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Zvýšená pochozí podlaha do úrovně výšky kolejnic s nájezdovými klíny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ANO: zvýšená podlaha pokrývá celou plochu posuvu regálů a rovněž celou šíři manipulační uličky před čely regálů. Nájezdový klín je umístěn na začátku kolejnic přes celou šíři místnosti. Povrch podlahy je vhodný pro pravidelné (1x 14 dní) vlhké vytírání běžným saponátem. Desky z dřevitých materiálů musí mít dostatečnou povrchovou úpravu, či překrytí další ochranou pochozí vrstvou</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250"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31</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Délka záruky za jakost</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min. 60 měsíců od převzetí</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 měsíců</w:t>
            </w:r>
          </w:p>
        </w:tc>
      </w:tr>
      <w:tr>
        <w:trPr>
          <w:trHeight w:val="734"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32</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Doba odstranění vady zboží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Do max. 5 pracovních dní je odstraněna vada od jejího nahlášení, pokud způsobem volby práva z vadného plnění je oprava</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pracovních dní</w:t>
            </w:r>
          </w:p>
        </w:tc>
      </w:tr>
      <w:tr>
        <w:trPr>
          <w:trHeight w:val="730" w:hRule="exact"/>
        </w:trPr>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33</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Pravidelné kontroly a revize součástí kupní ceny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ANO: veškeré náklady na provádění pravidelných kontrol a revizí po dobu záruky za jakost jsou součástí kupní ceny</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 měsíců v souladu se záruční lhůtou</w:t>
            </w:r>
          </w:p>
        </w:tc>
      </w:tr>
      <w:tr>
        <w:trPr>
          <w:trHeight w:val="240" w:hRule="exact"/>
        </w:trPr>
        <w:tc>
          <w:tcPr>
            <w:tcBorders>
              <w:top w:val="single" w:sz="4"/>
              <w:left w:val="single" w:sz="4"/>
            </w:tcBorders>
            <w:shd w:val="clear" w:color="auto" w:fill="D9D9D9"/>
            <w:vAlign w:val="top"/>
          </w:tcPr>
          <w:p>
            <w:pPr>
              <w:widowControl w:val="0"/>
              <w:rPr>
                <w:sz w:val="10"/>
                <w:szCs w:val="10"/>
              </w:rPr>
            </w:pPr>
          </w:p>
        </w:tc>
        <w:tc>
          <w:tcPr>
            <w:tcBorders>
              <w:top w:val="single" w:sz="4"/>
              <w:left w:val="single" w:sz="4"/>
            </w:tcBorders>
            <w:shd w:val="clear" w:color="auto" w:fill="808080"/>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Manipulační vozík</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4" w:hRule="exact"/>
        </w:trPr>
        <w:tc>
          <w:tcPr>
            <w:tcBorders>
              <w:top w:val="single" w:sz="4"/>
              <w:left w:val="single" w:sz="4"/>
              <w:bottom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33</w:t>
            </w:r>
          </w:p>
        </w:tc>
        <w:tc>
          <w:tcPr>
            <w:tcBorders>
              <w:top w:val="single" w:sz="4"/>
              <w:left w:val="single" w:sz="4"/>
              <w:bottom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Materiál</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Police z MDF desek + zasazení do kovového rámu</w:t>
            </w:r>
          </w:p>
        </w:tc>
        <w:tc>
          <w:tcPr>
            <w:tcBorders>
              <w:top w:val="single" w:sz="4"/>
              <w:left w:val="single" w:sz="4"/>
              <w:bottom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D9D9D9"/>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634"/>
        <w:gridCol w:w="1819"/>
        <w:gridCol w:w="2261"/>
        <w:gridCol w:w="2563"/>
        <w:gridCol w:w="3734"/>
      </w:tblGrid>
      <w:tr>
        <w:trPr>
          <w:trHeight w:val="187"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34</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Nosnost (kg)</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200 kg</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 kg</w:t>
            </w:r>
          </w:p>
        </w:tc>
      </w:tr>
      <w:tr>
        <w:trPr>
          <w:trHeight w:val="365"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35</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Pohyblivost vozíku</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59" w:lineRule="auto"/>
              <w:ind w:left="0" w:right="0" w:firstLine="0"/>
              <w:jc w:val="center"/>
            </w:pPr>
            <w:r>
              <w:rPr>
                <w:spacing w:val="0"/>
                <w:w w:val="100"/>
                <w:position w:val="0"/>
                <w:shd w:val="clear" w:color="auto" w:fill="auto"/>
                <w:lang w:val="cs-CZ" w:eastAsia="cs-CZ" w:bidi="cs-CZ"/>
              </w:rPr>
              <w:t>4 otočná kolečka z toho 2 s nášlapnou brzdou</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182"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36</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Počet polic</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3</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182"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37</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Celková délka (mm)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max. 900 mm</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900 mm</w:t>
            </w:r>
          </w:p>
        </w:tc>
      </w:tr>
      <w:tr>
        <w:trPr>
          <w:trHeight w:val="182"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38</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Celková šířka (mm)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max. 460 mm</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460 mm</w:t>
            </w:r>
          </w:p>
        </w:tc>
      </w:tr>
      <w:tr>
        <w:trPr>
          <w:trHeight w:val="182"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39</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Celková výška (mm)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max. 1000 mm</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 mm</w:t>
            </w:r>
          </w:p>
        </w:tc>
      </w:tr>
      <w:tr>
        <w:trPr>
          <w:trHeight w:val="182"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40</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Užitná délka plošiny (mm)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min. 745 mm</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745 mm</w:t>
            </w:r>
          </w:p>
        </w:tc>
      </w:tr>
      <w:tr>
        <w:trPr>
          <w:trHeight w:val="182"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41</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Užitná šířka plošiny (mm)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min. 415 mm</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415 mm</w:t>
            </w:r>
          </w:p>
        </w:tc>
      </w:tr>
      <w:tr>
        <w:trPr>
          <w:trHeight w:val="182"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42</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Výška rukojeti (mm)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min. 1000 mm</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 mm</w:t>
            </w:r>
          </w:p>
        </w:tc>
      </w:tr>
      <w:tr>
        <w:trPr>
          <w:trHeight w:val="254" w:hRule="exact"/>
        </w:trPr>
        <w:tc>
          <w:tcPr>
            <w:tcBorders>
              <w:top w:val="single" w:sz="4"/>
              <w:left w:val="single" w:sz="4"/>
            </w:tcBorders>
            <w:shd w:val="clear" w:color="auto" w:fill="D9D9D9"/>
            <w:vAlign w:val="top"/>
          </w:tcPr>
          <w:p>
            <w:pPr>
              <w:widowControl w:val="0"/>
              <w:rPr>
                <w:sz w:val="10"/>
                <w:szCs w:val="10"/>
              </w:rPr>
            </w:pPr>
          </w:p>
        </w:tc>
        <w:tc>
          <w:tcPr>
            <w:tcBorders>
              <w:top w:val="single" w:sz="4"/>
              <w:left w:val="single" w:sz="4"/>
            </w:tcBorders>
            <w:shd w:val="clear" w:color="auto" w:fill="808080"/>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Schůdky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82"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43</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Materiál</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Hliník</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182"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44</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Nosnost (kg)</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150 kg</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150 kg</w:t>
            </w:r>
          </w:p>
        </w:tc>
      </w:tr>
      <w:tr>
        <w:trPr>
          <w:trHeight w:val="182"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45</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Pohyblivost schůdků</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bez koleček</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182"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46</w:t>
            </w:r>
          </w:p>
        </w:tc>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Počet stupňů</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3</w:t>
            </w:r>
          </w:p>
        </w:tc>
        <w:tc>
          <w:tcPr>
            <w:tcBorders>
              <w:top w:val="single" w:sz="4"/>
              <w:lef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365"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47</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Protiskluzová podložka každého schodu</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ANO</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D9D9D9"/>
            <w:vAlign w:val="top"/>
          </w:tcPr>
          <w:p>
            <w:pPr>
              <w:widowControl w:val="0"/>
              <w:rPr>
                <w:sz w:val="10"/>
                <w:szCs w:val="10"/>
              </w:rPr>
            </w:pPr>
          </w:p>
        </w:tc>
      </w:tr>
      <w:tr>
        <w:trPr>
          <w:trHeight w:val="365"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48</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Max. přístupová výška (m)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max. 2,6 m</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2,45 m</w:t>
            </w:r>
          </w:p>
        </w:tc>
      </w:tr>
      <w:tr>
        <w:trPr>
          <w:trHeight w:val="365" w:hRule="exact"/>
        </w:trPr>
        <w:tc>
          <w:tcPr>
            <w:tcBorders>
              <w:top w:val="single" w:sz="4"/>
              <w:left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49</w:t>
            </w:r>
          </w:p>
        </w:tc>
        <w:tc>
          <w:tcPr>
            <w:tcBorders>
              <w:top w:val="single" w:sz="4"/>
              <w:left w:val="single" w:sz="4"/>
            </w:tcBorders>
            <w:shd w:val="clear" w:color="auto" w:fill="D9D9D9"/>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Výška nejvyššího schodu (m)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min. 0,6 m</w:t>
            </w:r>
          </w:p>
        </w:tc>
        <w:tc>
          <w:tcPr>
            <w:tcBorders>
              <w:top w:val="single" w:sz="4"/>
              <w:lef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right w:val="single" w:sz="4"/>
            </w:tcBorders>
            <w:shd w:val="clear" w:color="auto" w:fill="FFC000"/>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0,69 m</w:t>
            </w:r>
          </w:p>
        </w:tc>
      </w:tr>
      <w:tr>
        <w:trPr>
          <w:trHeight w:val="192" w:hRule="exact"/>
        </w:trPr>
        <w:tc>
          <w:tcPr>
            <w:tcBorders>
              <w:top w:val="single" w:sz="4"/>
              <w:left w:val="single" w:sz="4"/>
              <w:bottom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50</w:t>
            </w:r>
          </w:p>
        </w:tc>
        <w:tc>
          <w:tcPr>
            <w:tcBorders>
              <w:top w:val="single" w:sz="4"/>
              <w:left w:val="single" w:sz="4"/>
              <w:bottom w:val="single" w:sz="4"/>
            </w:tcBorders>
            <w:shd w:val="clear" w:color="auto" w:fill="D9D9D9"/>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Hmotnost (kg)</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max. do 5 kg</w:t>
            </w:r>
          </w:p>
        </w:tc>
        <w:tc>
          <w:tcPr>
            <w:tcBorders>
              <w:top w:val="single" w:sz="4"/>
              <w:left w:val="single" w:sz="4"/>
              <w:bottom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w:t>
            </w:r>
          </w:p>
        </w:tc>
        <w:tc>
          <w:tcPr>
            <w:tcBorders>
              <w:top w:val="single" w:sz="4"/>
              <w:left w:val="single" w:sz="4"/>
              <w:bottom w:val="single" w:sz="4"/>
              <w:right w:val="single" w:sz="4"/>
            </w:tcBorders>
            <w:shd w:val="clear" w:color="auto" w:fill="FFC000"/>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4,6 kg</w:t>
            </w:r>
          </w:p>
        </w:tc>
      </w:tr>
    </w:tbl>
    <w:sectPr>
      <w:footnotePr>
        <w:pos w:val="pageBottom"/>
        <w:numFmt w:val="decimal"/>
        <w:numRestart w:val="continuous"/>
      </w:footnotePr>
      <w:pgSz w:w="11900" w:h="16840"/>
      <w:pgMar w:top="1085" w:left="354" w:right="536" w:bottom="891" w:header="657" w:footer="46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Calibri" w:eastAsia="Calibri" w:hAnsi="Calibri" w:cs="Calibri"/>
      <w:b w:val="0"/>
      <w:bCs w:val="0"/>
      <w:i w:val="0"/>
      <w:iCs w:val="0"/>
      <w:smallCaps w:val="0"/>
      <w:strike w:val="0"/>
      <w:color w:val="FF0000"/>
      <w:sz w:val="14"/>
      <w:szCs w:val="14"/>
      <w:u w:val="none"/>
    </w:rPr>
  </w:style>
  <w:style w:type="paragraph" w:customStyle="1" w:styleId="Style2">
    <w:name w:val="Jiné"/>
    <w:basedOn w:val="Normal"/>
    <w:link w:val="CharStyle3"/>
    <w:pPr>
      <w:widowControl w:val="0"/>
      <w:shd w:val="clear" w:color="auto" w:fill="FFFFFF"/>
      <w:jc w:val="center"/>
    </w:pPr>
    <w:rPr>
      <w:rFonts w:ascii="Calibri" w:eastAsia="Calibri" w:hAnsi="Calibri" w:cs="Calibri"/>
      <w:b w:val="0"/>
      <w:bCs w:val="0"/>
      <w:i w:val="0"/>
      <w:iCs w:val="0"/>
      <w:smallCaps w:val="0"/>
      <w:strike w:val="0"/>
      <w:color w:val="FF000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Ramaislová Veronika Mgr.</dc:creator>
  <cp:keywords/>
</cp:coreProperties>
</file>