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6" w:rsidRPr="00F03D56" w:rsidRDefault="000C56EC" w:rsidP="00F03D56">
      <w:pPr>
        <w:pStyle w:val="Default"/>
        <w:jc w:val="righ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  <w:t>115</w:t>
      </w:r>
      <w:r w:rsidR="00F03D56" w:rsidRPr="00F03D56">
        <w:rPr>
          <w:rFonts w:ascii="Verdana" w:hAnsi="Verdana"/>
          <w:bCs/>
          <w:color w:val="auto"/>
        </w:rPr>
        <w:t>/00069434/202</w:t>
      </w:r>
      <w:r>
        <w:rPr>
          <w:rFonts w:ascii="Verdana" w:hAnsi="Verdana"/>
          <w:bCs/>
          <w:color w:val="auto"/>
        </w:rPr>
        <w:t>1</w:t>
      </w:r>
    </w:p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03D56">
        <w:rPr>
          <w:rFonts w:ascii="Verdana" w:hAnsi="Verdana"/>
          <w:b/>
          <w:bCs/>
          <w:color w:val="auto"/>
        </w:rPr>
        <w:t xml:space="preserve">            </w:t>
      </w:r>
    </w:p>
    <w:p w:rsidR="00C644BC" w:rsidRDefault="00C644BC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DC0B70" w:rsidRPr="00C644BC" w:rsidRDefault="00DC0B70" w:rsidP="00C644BC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586EF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Descartes v.o.s.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86EF6">
        <w:rPr>
          <w:rFonts w:ascii="Verdana" w:hAnsi="Verdana"/>
          <w:color w:val="auto"/>
        </w:rPr>
        <w:t xml:space="preserve">Svratouch </w:t>
      </w:r>
      <w:r w:rsidR="005A71FB">
        <w:rPr>
          <w:rFonts w:ascii="Verdana" w:hAnsi="Verdana"/>
          <w:color w:val="auto"/>
        </w:rPr>
        <w:t>104, Svratouch</w:t>
      </w:r>
      <w:r w:rsidRPr="00C644BC">
        <w:rPr>
          <w:rFonts w:ascii="Verdana" w:hAnsi="Verdana"/>
          <w:color w:val="auto"/>
        </w:rPr>
        <w:t xml:space="preserve"> </w:t>
      </w:r>
      <w:r w:rsidR="005A71FB">
        <w:rPr>
          <w:rFonts w:ascii="Verdana" w:hAnsi="Verdana"/>
          <w:color w:val="auto"/>
        </w:rPr>
        <w:t>539 42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A71FB" w:rsidRPr="005A71FB">
        <w:rPr>
          <w:rFonts w:ascii="Verdana" w:hAnsi="Verdana"/>
          <w:color w:val="auto"/>
        </w:rPr>
        <w:t>26008530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DIČ: CZ26008530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5A71FB">
        <w:rPr>
          <w:rFonts w:ascii="Verdana" w:hAnsi="Verdana"/>
          <w:color w:val="auto"/>
        </w:rPr>
        <w:t xml:space="preserve">Česká spořitelna 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5A71FB" w:rsidRPr="005A71FB">
        <w:rPr>
          <w:rFonts w:ascii="Verdana" w:hAnsi="Verdana"/>
          <w:color w:val="auto"/>
        </w:rPr>
        <w:t>190941185/0300</w:t>
      </w:r>
    </w:p>
    <w:p w:rsidR="00C644BC" w:rsidRPr="00C644BC" w:rsidRDefault="00B34798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Zastoupený:</w:t>
      </w:r>
      <w:r w:rsidR="00C644BC" w:rsidRPr="00C644BC">
        <w:rPr>
          <w:rFonts w:ascii="Verdana" w:hAnsi="Verdana"/>
          <w:color w:val="auto"/>
        </w:rPr>
        <w:t xml:space="preserve"> </w:t>
      </w:r>
      <w:r w:rsidR="00586EF6">
        <w:rPr>
          <w:rFonts w:ascii="Verdana" w:hAnsi="Verdana"/>
          <w:color w:val="auto"/>
        </w:rPr>
        <w:t>Mgr. Radka Pokorná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264DE0" w:rsidRPr="00264DE0">
        <w:rPr>
          <w:rFonts w:ascii="Verdana" w:hAnsi="Verdana"/>
          <w:color w:val="auto"/>
        </w:rPr>
        <w:t>OŠMS/5962/2001 ze dne 6.12.2000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>podle ust.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</w:t>
      </w:r>
      <w:r w:rsidR="00DC0B70">
        <w:rPr>
          <w:rFonts w:ascii="Verdana" w:hAnsi="Verdana"/>
          <w:color w:val="auto"/>
        </w:rPr>
        <w:t xml:space="preserve"> </w:t>
      </w:r>
      <w:r w:rsidR="00C44A88">
        <w:rPr>
          <w:rFonts w:ascii="Verdana" w:hAnsi="Verdana"/>
          <w:color w:val="auto"/>
        </w:rPr>
        <w:t>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0D0EC9">
        <w:rPr>
          <w:rFonts w:ascii="Verdana" w:hAnsi="Verdana"/>
          <w:color w:val="auto"/>
        </w:rPr>
        <w:t xml:space="preserve">firmy Descartes v.o.s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účastní</w:t>
      </w:r>
      <w:r>
        <w:rPr>
          <w:rFonts w:ascii="Verdana" w:hAnsi="Verdana"/>
          <w:color w:val="auto"/>
        </w:rPr>
        <w:t xml:space="preserve">ky kurzů anglického jazyka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</w:t>
      </w:r>
      <w:r w:rsidRPr="00C644BC">
        <w:rPr>
          <w:rFonts w:ascii="Verdana" w:hAnsi="Verdana"/>
          <w:color w:val="auto"/>
        </w:rPr>
        <w:lastRenderedPageBreak/>
        <w:t xml:space="preserve">Stravování bude zajištěno především v období </w:t>
      </w:r>
      <w:r>
        <w:rPr>
          <w:rFonts w:ascii="Verdana" w:hAnsi="Verdana"/>
          <w:color w:val="auto"/>
        </w:rPr>
        <w:t xml:space="preserve">červenec – srpen v rozsahu 50-130 </w:t>
      </w:r>
      <w:r w:rsidRPr="00C644BC">
        <w:rPr>
          <w:rFonts w:ascii="Verdana" w:hAnsi="Verdana"/>
          <w:color w:val="auto"/>
        </w:rPr>
        <w:t xml:space="preserve">osob/ </w:t>
      </w:r>
      <w:r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>
        <w:rPr>
          <w:rFonts w:ascii="Verdana" w:hAnsi="Verdana"/>
          <w:color w:val="auto"/>
        </w:rPr>
        <w:t xml:space="preserve"> odpovídající úroveň stolování v jídelně.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 lůžkovin. V ceně ubytování je zahrnuto i využívání učeben pro výuku anglického jazyka (max. počet 8 učeben), využívání venkovních sportovišť a areálu školy, využívání bazénu dle příslušných pravidel, wi-fi a kopírování materiálů pro výuku.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Pr="00C644BC">
        <w:rPr>
          <w:rFonts w:ascii="Verdana" w:hAnsi="Verdana"/>
          <w:color w:val="auto"/>
        </w:rPr>
        <w:t xml:space="preserve">obslužným způsobem.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Pr="00C644BC">
        <w:rPr>
          <w:rFonts w:ascii="Verdana" w:hAnsi="Verdana"/>
          <w:color w:val="auto"/>
        </w:rPr>
        <w:t>V</w:t>
      </w:r>
      <w:r>
        <w:rPr>
          <w:rFonts w:ascii="Verdana" w:hAnsi="Verdana"/>
          <w:color w:val="auto"/>
        </w:rPr>
        <w:t> </w:t>
      </w:r>
      <w:r w:rsidRPr="00C644BC">
        <w:rPr>
          <w:rFonts w:ascii="Verdana" w:hAnsi="Verdana"/>
          <w:color w:val="auto"/>
        </w:rPr>
        <w:t>případě</w:t>
      </w:r>
      <w:r>
        <w:rPr>
          <w:rFonts w:ascii="Verdana" w:hAnsi="Verdana"/>
          <w:color w:val="auto"/>
        </w:rPr>
        <w:t xml:space="preserve"> nutnosti uzpůsobit stravu z důvodu zdravotního stavu účastníka kurzu, </w:t>
      </w:r>
      <w:r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  <w:r w:rsidRPr="00DC0B70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Objednatel vždy zašle nejpozději do 31. 12. kalendářního roku objednávku na další letní prázdniny.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209,09 Kč bez DPH, tj. 230,-Kč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272,73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300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80,-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110,-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80,- 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Pr="00C644BC">
        <w:rPr>
          <w:rFonts w:ascii="Verdana" w:hAnsi="Verdana"/>
          <w:b/>
          <w:bCs/>
          <w:color w:val="auto"/>
        </w:rPr>
        <w:t>ek 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a zašle fakturu, jejíž přílohou bude objednávka odběratele a rozpis jednotlivých odebraných jídel, objednateli na adresu: </w:t>
      </w:r>
      <w:r>
        <w:rPr>
          <w:rFonts w:ascii="Verdana" w:hAnsi="Verdana"/>
          <w:color w:val="auto"/>
        </w:rPr>
        <w:t xml:space="preserve">Descartes v.o.s., Svratouch 104, Svratouch. </w:t>
      </w:r>
      <w:r w:rsidRPr="00C644BC">
        <w:rPr>
          <w:rFonts w:ascii="Verdana" w:hAnsi="Verdana"/>
          <w:color w:val="auto"/>
        </w:rPr>
        <w:t xml:space="preserve"> Smluvní strany se dohodly na lhůtě splatnosti </w:t>
      </w:r>
      <w:r w:rsidR="00E1409F">
        <w:rPr>
          <w:rFonts w:ascii="Verdana" w:hAnsi="Verdana"/>
          <w:color w:val="auto"/>
        </w:rPr>
        <w:t xml:space="preserve">zálohové </w:t>
      </w:r>
      <w:bookmarkStart w:id="0" w:name="_GoBack"/>
      <w:bookmarkEnd w:id="0"/>
      <w:r w:rsidRPr="00C644BC">
        <w:rPr>
          <w:rFonts w:ascii="Verdana" w:hAnsi="Verdana"/>
          <w:color w:val="auto"/>
        </w:rPr>
        <w:t xml:space="preserve">faktury v délce </w:t>
      </w:r>
      <w:r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 xml:space="preserve">) kalendářních dnů ode dne prokazatelného doručení faktury. </w:t>
      </w:r>
      <w:r w:rsidR="00E1409F">
        <w:rPr>
          <w:rFonts w:ascii="Verdana" w:hAnsi="Verdana"/>
          <w:color w:val="auto"/>
        </w:rPr>
        <w:t>Záloha bude nejpozději uhrazena do 30.6.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ust. § 28 zákona č. 235/2004 Sb., zákona o dani z přidané hodnoty, ve znění pozdějších předpisů a náležitosti podle ust. § 13a obchodního zákoníku.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</w:t>
      </w:r>
      <w:r>
        <w:rPr>
          <w:rFonts w:ascii="Verdana" w:hAnsi="Verdana"/>
          <w:color w:val="auto"/>
        </w:rPr>
        <w:t>Touto smlouvou se ruší smlouva č. 48_00069434_2017.</w:t>
      </w: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Smlouva nabývá platnosti a účinnosti dnem podpisu smlouvy oběma smluvními stranami. Vztahy touto smlouvou neupravené se řídí příslušnými ustanoveními obchodního zákoníku.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(5) </w:t>
      </w:r>
      <w:r w:rsidRPr="00C644BC">
        <w:rPr>
          <w:rFonts w:ascii="Verdana" w:hAnsi="Verdana"/>
          <w:color w:val="auto"/>
        </w:rPr>
        <w:t xml:space="preserve">Tato smlouva je vyhotovena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Ve Svratouchu dne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54769" w:rsidRDefault="00754769" w:rsidP="00DC0B7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DC0B70">
        <w:rPr>
          <w:rFonts w:ascii="Verdana" w:hAnsi="Verdana"/>
          <w:color w:val="auto"/>
        </w:rPr>
        <w:tab/>
      </w:r>
      <w:r w:rsidR="00DC0B70">
        <w:rPr>
          <w:rFonts w:ascii="Verdana" w:hAnsi="Verdana"/>
          <w:color w:val="auto"/>
        </w:rPr>
        <w:tab/>
      </w:r>
      <w:r w:rsidR="00DC0B70">
        <w:rPr>
          <w:rFonts w:ascii="Verdana" w:hAnsi="Verdana"/>
          <w:color w:val="auto"/>
        </w:rPr>
        <w:tab/>
        <w:t>Mgr. Radka Pokorná</w:t>
      </w:r>
      <w:r w:rsidR="00DC0B70"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  <w:t xml:space="preserve"> </w:t>
      </w:r>
    </w:p>
    <w:p w:rsidR="00754769" w:rsidRDefault="00754769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1409F" w:rsidRPr="00E1409F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1409F" w:rsidRPr="00E1409F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C56EC"/>
    <w:rsid w:val="000D0EC9"/>
    <w:rsid w:val="0010036E"/>
    <w:rsid w:val="001A3056"/>
    <w:rsid w:val="00264DE0"/>
    <w:rsid w:val="002716B0"/>
    <w:rsid w:val="00273D73"/>
    <w:rsid w:val="003229A9"/>
    <w:rsid w:val="003D3A49"/>
    <w:rsid w:val="004220CE"/>
    <w:rsid w:val="00446199"/>
    <w:rsid w:val="00586EF6"/>
    <w:rsid w:val="005A71FB"/>
    <w:rsid w:val="00607013"/>
    <w:rsid w:val="007375B5"/>
    <w:rsid w:val="00754769"/>
    <w:rsid w:val="007F7609"/>
    <w:rsid w:val="00895DEC"/>
    <w:rsid w:val="008E0C8D"/>
    <w:rsid w:val="009A4E04"/>
    <w:rsid w:val="00A85F4A"/>
    <w:rsid w:val="00B078C4"/>
    <w:rsid w:val="00B159A3"/>
    <w:rsid w:val="00B32E68"/>
    <w:rsid w:val="00B34798"/>
    <w:rsid w:val="00C133B3"/>
    <w:rsid w:val="00C44A88"/>
    <w:rsid w:val="00C644BC"/>
    <w:rsid w:val="00D34D68"/>
    <w:rsid w:val="00DC0B70"/>
    <w:rsid w:val="00E1409F"/>
    <w:rsid w:val="00E26489"/>
    <w:rsid w:val="00EA6D5E"/>
    <w:rsid w:val="00EB6989"/>
    <w:rsid w:val="00F03D56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9412CE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33</cp:revision>
  <cp:lastPrinted>2017-05-19T05:46:00Z</cp:lastPrinted>
  <dcterms:created xsi:type="dcterms:W3CDTF">2016-11-26T17:23:00Z</dcterms:created>
  <dcterms:modified xsi:type="dcterms:W3CDTF">2021-04-19T10:59:00Z</dcterms:modified>
</cp:coreProperties>
</file>