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5C04DF" w:rsidRDefault="005C04DF" w:rsidP="005C04DF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:rsidR="005C04DF" w:rsidRDefault="005C04DF" w:rsidP="00475ABD">
      <w:pPr>
        <w:spacing w:beforeLines="60"/>
        <w:rPr>
          <w:rFonts w:ascii="Arial" w:hAnsi="Arial" w:cs="Arial"/>
          <w:b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 služby Libina, příspěvková organizace</w:t>
      </w:r>
    </w:p>
    <w:p w:rsidR="005C04DF" w:rsidRPr="00400ED7" w:rsidRDefault="005C04DF" w:rsidP="005C04D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Libina 540, 788 05 Libina</w:t>
      </w:r>
    </w:p>
    <w:p w:rsidR="005C04DF" w:rsidRPr="00400ED7" w:rsidRDefault="005C04DF" w:rsidP="005C04D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75003988</w:t>
      </w:r>
    </w:p>
    <w:p w:rsidR="005C04DF" w:rsidRDefault="005C04DF" w:rsidP="005C04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5C04DF" w:rsidRDefault="005C04DF" w:rsidP="005C04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Markem Němcem, ředitelem</w:t>
      </w:r>
    </w:p>
    <w:p w:rsidR="005C04DF" w:rsidRDefault="005C04DF" w:rsidP="005C04DF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5C04DF" w:rsidRDefault="005C04DF" w:rsidP="005C04DF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:rsidR="005C04DF" w:rsidRPr="003A76F4" w:rsidRDefault="005C04DF" w:rsidP="005C04DF">
      <w:pPr>
        <w:tabs>
          <w:tab w:val="left" w:pos="2835"/>
        </w:tabs>
        <w:ind w:left="2835"/>
        <w:jc w:val="both"/>
        <w:rPr>
          <w:rFonts w:ascii="Arial" w:hAnsi="Arial" w:cs="Arial"/>
          <w:i/>
          <w:color w:val="000000" w:themeColor="text1"/>
        </w:rPr>
      </w:pPr>
      <w:r w:rsidRPr="00D24A59">
        <w:rPr>
          <w:rFonts w:ascii="Arial" w:hAnsi="Arial" w:cs="Arial"/>
          <w:color w:val="000000" w:themeColor="text1"/>
        </w:rPr>
        <w:t>Jméno</w:t>
      </w:r>
      <w:r>
        <w:rPr>
          <w:rFonts w:ascii="Arial" w:hAnsi="Arial" w:cs="Arial"/>
          <w:i/>
          <w:color w:val="000000" w:themeColor="text1"/>
        </w:rPr>
        <w:t>: Marek Němec</w:t>
      </w:r>
    </w:p>
    <w:p w:rsidR="005C04DF" w:rsidRDefault="005C04DF" w:rsidP="005C04DF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5C04DF" w:rsidRDefault="005C04DF" w:rsidP="005C04DF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5C04DF" w:rsidRDefault="005C04DF" w:rsidP="005C04DF">
      <w:pPr>
        <w:spacing w:before="60"/>
        <w:rPr>
          <w:rFonts w:ascii="Arial" w:hAnsi="Arial" w:cs="Arial"/>
        </w:rPr>
      </w:pPr>
    </w:p>
    <w:p w:rsidR="005A71F9" w:rsidRPr="00260A16" w:rsidRDefault="005A71F9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5A71F9" w:rsidRDefault="005A71F9" w:rsidP="005A71F9">
      <w:pPr>
        <w:rPr>
          <w:rFonts w:ascii="Arial" w:hAnsi="Arial" w:cs="Arial"/>
        </w:rPr>
      </w:pPr>
    </w:p>
    <w:p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:rsidR="005A71F9" w:rsidRPr="00D468FA" w:rsidRDefault="005A71F9" w:rsidP="005A71F9">
      <w:pPr>
        <w:jc w:val="both"/>
        <w:rPr>
          <w:rFonts w:ascii="Arial" w:hAnsi="Arial" w:cs="Arial"/>
        </w:rPr>
      </w:pPr>
    </w:p>
    <w:p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5A71F9" w:rsidRPr="00D468FA" w:rsidRDefault="005A71F9" w:rsidP="005A71F9">
      <w:pPr>
        <w:rPr>
          <w:rFonts w:ascii="Arial" w:hAnsi="Arial" w:cs="Arial"/>
          <w:b/>
        </w:rPr>
      </w:pPr>
    </w:p>
    <w:p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proofErr w:type="gramStart"/>
      <w:r w:rsidRPr="00A202DE">
        <w:rPr>
          <w:rFonts w:ascii="Arial" w:hAnsi="Arial" w:cs="Arial"/>
        </w:rPr>
        <w:t>Zastoupen(a/o</w:t>
      </w:r>
      <w:proofErr w:type="gramEnd"/>
      <w:r w:rsidRPr="00A202DE">
        <w:rPr>
          <w:rFonts w:ascii="Arial" w:hAnsi="Arial" w:cs="Arial"/>
        </w:rPr>
        <w:t>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proofErr w:type="spellStart"/>
      <w:r w:rsidR="00475ABD">
        <w:rPr>
          <w:rFonts w:ascii="Arial" w:hAnsi="Arial" w:cs="Arial"/>
        </w:rPr>
        <w:t>xxx</w:t>
      </w:r>
      <w:proofErr w:type="spellEnd"/>
    </w:p>
    <w:p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:rsidR="005A71F9" w:rsidRPr="00D468FA" w:rsidRDefault="005A71F9" w:rsidP="005A71F9">
      <w:pPr>
        <w:rPr>
          <w:rFonts w:ascii="Arial" w:hAnsi="Arial" w:cs="Arial"/>
          <w:lang w:eastAsia="ar-SA"/>
        </w:rPr>
      </w:pPr>
    </w:p>
    <w:p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</w:t>
      </w:r>
      <w:proofErr w:type="gramStart"/>
      <w:r w:rsidR="0070510B">
        <w:rPr>
          <w:rFonts w:ascii="Arial" w:hAnsi="Arial" w:cs="Arial"/>
          <w:szCs w:val="24"/>
        </w:rPr>
        <w:t>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</w:t>
      </w:r>
      <w:proofErr w:type="gramEnd"/>
      <w:r w:rsidR="0070510B">
        <w:rPr>
          <w:rFonts w:ascii="Arial" w:hAnsi="Arial" w:cs="Arial"/>
          <w:szCs w:val="24"/>
        </w:rPr>
        <w:t xml:space="preserve">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</w:t>
      </w:r>
      <w:proofErr w:type="gramStart"/>
      <w:r w:rsidRPr="00697C7D">
        <w:rPr>
          <w:rFonts w:ascii="Arial" w:hAnsi="Arial" w:cs="Arial"/>
          <w:szCs w:val="24"/>
        </w:rPr>
        <w:t>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</w:t>
      </w:r>
      <w:proofErr w:type="gramEnd"/>
      <w:r w:rsidRPr="00697C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Tato smlouva je vyhotovena ve třech stejnopisech, z nichž Objednatel obdrží dvě vyhotovení a Poskytovatel jedno.</w:t>
      </w:r>
    </w:p>
    <w:p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:rsidR="00D75D9F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:rsidR="005C04DF" w:rsidRPr="005B48C0" w:rsidRDefault="005C04D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V ..…</w:t>
      </w:r>
      <w:proofErr w:type="gramEnd"/>
      <w:r>
        <w:rPr>
          <w:rFonts w:ascii="Arial" w:hAnsi="Arial" w:cs="Arial"/>
          <w:snapToGrid w:val="0"/>
        </w:rPr>
        <w:t>……………..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 ..……………….. dne……………</w:t>
      </w:r>
    </w:p>
    <w:p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/>
      </w:tblPr>
      <w:tblGrid>
        <w:gridCol w:w="3686"/>
        <w:gridCol w:w="1134"/>
        <w:gridCol w:w="4111"/>
      </w:tblGrid>
      <w:tr w:rsidR="00BA213C" w:rsidRPr="00A202DE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:rsidTr="00E562D4">
        <w:tc>
          <w:tcPr>
            <w:tcW w:w="3686" w:type="dxa"/>
            <w:shd w:val="clear" w:color="auto" w:fill="auto"/>
          </w:tcPr>
          <w:p w:rsidR="005C04DF" w:rsidRPr="009F3C41" w:rsidRDefault="005C04DF" w:rsidP="005C04DF">
            <w:pPr>
              <w:pStyle w:val="Heading21"/>
              <w:keepNext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Mgr. Marek Němec</w:t>
            </w:r>
          </w:p>
          <w:p w:rsidR="00BA213C" w:rsidRPr="00A202DE" w:rsidRDefault="005C04DF" w:rsidP="005C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134" w:type="dxa"/>
          </w:tcPr>
          <w:p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/>
      </w:tblPr>
      <w:tblGrid>
        <w:gridCol w:w="3681"/>
        <w:gridCol w:w="2977"/>
        <w:gridCol w:w="1985"/>
      </w:tblGrid>
      <w:tr w:rsidR="009B78D2" w:rsidRPr="002561E4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C04D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Němec Marek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D61916" w:rsidP="00475ABD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0" w:history="1">
              <w:proofErr w:type="spellStart"/>
              <w:r w:rsidR="005C04DF" w:rsidRPr="00334C7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r</w:t>
              </w:r>
              <w:r w:rsidR="00475ABD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xxx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475AB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</w:t>
            </w:r>
            <w:proofErr w:type="spellEnd"/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C04D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Procházková Irena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475AB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475ABD" w:rsidP="00475ABD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/>
                <w:szCs w:val="24"/>
                <w:lang w:eastAsia="en-US"/>
              </w:rPr>
              <w:t>xxx</w:t>
            </w:r>
            <w:proofErr w:type="spellEnd"/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:rsidR="009B78D2" w:rsidRDefault="00475ABD" w:rsidP="009B78D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xxx</w:t>
      </w:r>
      <w:proofErr w:type="gramEnd"/>
    </w:p>
    <w:p w:rsidR="009B78D2" w:rsidRDefault="00D61916" w:rsidP="009B78D2">
      <w:pPr>
        <w:rPr>
          <w:rFonts w:ascii="Arial" w:hAnsi="Arial" w:cs="Arial"/>
        </w:rPr>
      </w:pPr>
      <w:hyperlink r:id="rId11" w:history="1">
        <w:r w:rsidR="00475ABD">
          <w:rPr>
            <w:rStyle w:val="Hypertextovodkaz"/>
            <w:rFonts w:ascii="Arial" w:hAnsi="Arial" w:cs="Arial"/>
          </w:rPr>
          <w:t>xxx</w:t>
        </w:r>
      </w:hyperlink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:rsidR="009B78D2" w:rsidRDefault="009B78D2" w:rsidP="009B78D2">
      <w:pPr>
        <w:rPr>
          <w:rFonts w:ascii="Arial" w:hAnsi="Arial" w:cs="Arial"/>
          <w:b/>
          <w:bCs/>
        </w:rPr>
      </w:pPr>
    </w:p>
    <w:p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:rsidR="00D75D9F" w:rsidRDefault="00D75D9F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:rsidR="005E2B38" w:rsidRDefault="005E2B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14100" w:type="dxa"/>
        <w:tblCellMar>
          <w:left w:w="70" w:type="dxa"/>
          <w:right w:w="70" w:type="dxa"/>
        </w:tblCellMar>
        <w:tblLook w:val="04A0"/>
      </w:tblPr>
      <w:tblGrid>
        <w:gridCol w:w="500"/>
        <w:gridCol w:w="1060"/>
        <w:gridCol w:w="1200"/>
        <w:gridCol w:w="1120"/>
        <w:gridCol w:w="1720"/>
        <w:gridCol w:w="3280"/>
        <w:gridCol w:w="1640"/>
        <w:gridCol w:w="1640"/>
        <w:gridCol w:w="1940"/>
      </w:tblGrid>
      <w:tr w:rsidR="005E2B38" w:rsidRPr="005E2B38" w:rsidTr="005E2B38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2B38">
              <w:rPr>
                <w:rFonts w:ascii="Arial" w:hAnsi="Arial" w:cs="Arial"/>
                <w:b/>
                <w:bCs/>
                <w:sz w:val="28"/>
                <w:szCs w:val="28"/>
              </w:rPr>
              <w:t>Příloha č. 3 Specifikace poskytovaných služeb</w:t>
            </w:r>
          </w:p>
        </w:tc>
      </w:tr>
      <w:tr w:rsidR="005E2B38" w:rsidRPr="005E2B38" w:rsidTr="005E2B38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5E2B38">
              <w:rPr>
                <w:rFonts w:ascii="Arial" w:hAnsi="Arial" w:cs="Arial"/>
                <w:i/>
                <w:iCs/>
                <w:szCs w:val="24"/>
              </w:rPr>
              <w:t>Sociální služby Libina, příspěvková organizace</w:t>
            </w:r>
          </w:p>
        </w:tc>
      </w:tr>
      <w:tr w:rsidR="005E2B38" w:rsidRPr="005E2B38" w:rsidTr="005E2B38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5E2B38">
              <w:rPr>
                <w:rFonts w:ascii="Arial" w:hAnsi="Arial" w:cs="Arial"/>
                <w:i/>
                <w:iCs/>
                <w:szCs w:val="24"/>
              </w:rPr>
              <w:t>IČO: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5E2B38">
              <w:rPr>
                <w:rFonts w:ascii="Arial" w:hAnsi="Arial" w:cs="Arial"/>
                <w:i/>
                <w:iCs/>
                <w:szCs w:val="24"/>
              </w:rPr>
              <w:t>75003988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5E2B38" w:rsidRPr="005E2B38" w:rsidTr="005E2B38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#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Kód odpadu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Kategorie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MJ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Předpokládané</w:t>
            </w:r>
            <w:r w:rsidRPr="005E2B38">
              <w:rPr>
                <w:rFonts w:ascii="Arial" w:hAnsi="Arial" w:cs="Arial"/>
                <w:b/>
                <w:bCs/>
                <w:sz w:val="20"/>
              </w:rPr>
              <w:br/>
              <w:t xml:space="preserve">množství </w:t>
            </w:r>
            <w:r w:rsidRPr="005E2B38">
              <w:rPr>
                <w:rFonts w:ascii="Arial" w:hAnsi="Arial" w:cs="Arial"/>
                <w:b/>
                <w:bCs/>
                <w:sz w:val="20"/>
              </w:rPr>
              <w:br/>
              <w:t>v MJ (2 roky)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Předpokládaná frekvence odvozu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 xml:space="preserve">Předpokládaný </w:t>
            </w:r>
            <w:r w:rsidRPr="005E2B38">
              <w:rPr>
                <w:rFonts w:ascii="Arial" w:hAnsi="Arial" w:cs="Arial"/>
                <w:b/>
                <w:bCs/>
                <w:sz w:val="20"/>
              </w:rPr>
              <w:br/>
              <w:t xml:space="preserve">počet odvozů </w:t>
            </w:r>
            <w:r w:rsidRPr="005E2B38">
              <w:rPr>
                <w:rFonts w:ascii="Arial" w:hAnsi="Arial" w:cs="Arial"/>
                <w:b/>
                <w:bCs/>
                <w:sz w:val="20"/>
              </w:rPr>
              <w:br/>
              <w:t xml:space="preserve">za rok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Počet nádob pronajatých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Počet nádob vlastních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15 01 01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0,5200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 x za rok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15 01 10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podle potřeby (na objednání)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18 01 03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40,8220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3 x za týden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19 08 09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0,9700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 x za rok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20 01 01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0,4800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 x za rok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20 01 21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0,0500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 x za rok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20 01 25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0,0500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 x za rok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5E2B38" w:rsidRPr="005E2B38" w:rsidTr="005E2B3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20 03 01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5E2B38">
              <w:rPr>
                <w:rFonts w:ascii="Arial" w:hAnsi="Arial" w:cs="Arial"/>
                <w:sz w:val="20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19,5300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 až 2 x za měsíc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:rsidR="005E2B38" w:rsidRDefault="005E2B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9320" w:type="dxa"/>
        <w:tblCellMar>
          <w:left w:w="70" w:type="dxa"/>
          <w:right w:w="70" w:type="dxa"/>
        </w:tblCellMar>
        <w:tblLook w:val="04A0"/>
      </w:tblPr>
      <w:tblGrid>
        <w:gridCol w:w="1400"/>
        <w:gridCol w:w="4360"/>
        <w:gridCol w:w="3560"/>
      </w:tblGrid>
      <w:tr w:rsidR="005E2B38" w:rsidRPr="005E2B38" w:rsidTr="005E2B38">
        <w:trPr>
          <w:trHeight w:val="4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5E2B38" w:rsidRPr="005E2B38" w:rsidTr="005E2B38">
        <w:trPr>
          <w:trHeight w:val="43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5E2B38" w:rsidRPr="005E2B38" w:rsidTr="005E2B38">
        <w:trPr>
          <w:trHeight w:val="43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5E2B38" w:rsidRPr="005E2B38" w:rsidTr="005E2B38">
        <w:trPr>
          <w:trHeight w:val="9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Velikost nádoby / kontejneru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Adresa místa odvozu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5E2B38">
              <w:rPr>
                <w:rFonts w:ascii="Arial" w:hAnsi="Arial" w:cs="Arial"/>
                <w:b/>
                <w:bCs/>
                <w:sz w:val="20"/>
              </w:rPr>
              <w:t>Poznámky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 xml:space="preserve">2 x </w:t>
            </w:r>
            <w:proofErr w:type="spellStart"/>
            <w:r w:rsidRPr="005E2B38">
              <w:rPr>
                <w:rFonts w:ascii="Arial" w:hAnsi="Arial" w:cs="Arial"/>
                <w:color w:val="000000"/>
                <w:sz w:val="20"/>
              </w:rPr>
              <w:t>Big</w:t>
            </w:r>
            <w:proofErr w:type="spellEnd"/>
            <w:r w:rsidRPr="005E2B38">
              <w:rPr>
                <w:rFonts w:ascii="Arial" w:hAnsi="Arial" w:cs="Arial"/>
                <w:color w:val="000000"/>
                <w:sz w:val="20"/>
              </w:rPr>
              <w:t xml:space="preserve"> Bag – cca 1500l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120 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pytle na infekční odpad červený Typ 80; 4745 kusů za rok 2014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 xml:space="preserve">odvoz tukového </w:t>
            </w:r>
            <w:proofErr w:type="spellStart"/>
            <w:r w:rsidRPr="005E2B38">
              <w:rPr>
                <w:rFonts w:ascii="Arial" w:hAnsi="Arial" w:cs="Arial"/>
                <w:color w:val="000000"/>
                <w:sz w:val="20"/>
              </w:rPr>
              <w:t>lapolu</w:t>
            </w:r>
            <w:proofErr w:type="spellEnd"/>
            <w:r w:rsidRPr="005E2B38">
              <w:rPr>
                <w:rFonts w:ascii="Arial" w:hAnsi="Arial" w:cs="Arial"/>
                <w:color w:val="000000"/>
                <w:sz w:val="20"/>
              </w:rPr>
              <w:t xml:space="preserve"> 1 x ročně sací cisternou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 xml:space="preserve">2 x </w:t>
            </w:r>
            <w:proofErr w:type="spellStart"/>
            <w:r w:rsidRPr="005E2B38">
              <w:rPr>
                <w:rFonts w:ascii="Arial" w:hAnsi="Arial" w:cs="Arial"/>
                <w:color w:val="000000"/>
                <w:sz w:val="20"/>
              </w:rPr>
              <w:t>Big</w:t>
            </w:r>
            <w:proofErr w:type="spellEnd"/>
            <w:r w:rsidRPr="005E2B38">
              <w:rPr>
                <w:rFonts w:ascii="Arial" w:hAnsi="Arial" w:cs="Arial"/>
                <w:color w:val="000000"/>
                <w:sz w:val="20"/>
              </w:rPr>
              <w:t xml:space="preserve"> Bag – cca 1500l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kontejner 25 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2 x 15 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2B38" w:rsidRPr="005E2B38" w:rsidTr="005E2B38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kontejner na 5 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Sociální služby Libina, Libina 540, 788 05 Libina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38" w:rsidRPr="005E2B38" w:rsidRDefault="005E2B38" w:rsidP="005E2B38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5E2B3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5E2B38" w:rsidRDefault="005E2B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bookmarkStart w:id="2" w:name="_GoBack"/>
      <w:bookmarkEnd w:id="2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5E2B38" w:rsidSect="005E2B38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8E6B" w16cex:dateUtc="2021-01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81D5D" w16cid:durableId="23BA8E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99" w:rsidRDefault="002D4399" w:rsidP="005A71F9">
      <w:r>
        <w:separator/>
      </w:r>
    </w:p>
  </w:endnote>
  <w:endnote w:type="continuationSeparator" w:id="0">
    <w:p w:rsidR="002D4399" w:rsidRDefault="002D4399" w:rsidP="005A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 w:rsidR="00D61916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D61916">
      <w:rPr>
        <w:b/>
        <w:bCs/>
      </w:rPr>
      <w:fldChar w:fldCharType="separate"/>
    </w:r>
    <w:r>
      <w:rPr>
        <w:b/>
        <w:bCs/>
        <w:noProof/>
      </w:rPr>
      <w:t>2</w:t>
    </w:r>
    <w:r w:rsidR="00D61916">
      <w:rPr>
        <w:b/>
        <w:bCs/>
      </w:rPr>
      <w:fldChar w:fldCharType="end"/>
    </w:r>
    <w:r>
      <w:t xml:space="preserve"> z </w:t>
    </w:r>
    <w:fldSimple w:instr="NUMPAGES  \* Arabic  \* MERGEFORMAT">
      <w:r w:rsidR="00145398">
        <w:rPr>
          <w:b/>
          <w:bCs/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="00D61916"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="00D61916" w:rsidRPr="00282F59">
      <w:rPr>
        <w:rFonts w:ascii="Arial" w:hAnsi="Arial" w:cs="Arial"/>
        <w:color w:val="000000" w:themeColor="text1"/>
        <w:sz w:val="20"/>
      </w:rPr>
      <w:fldChar w:fldCharType="separate"/>
    </w:r>
    <w:r w:rsidR="00475ABD">
      <w:rPr>
        <w:rFonts w:ascii="Arial" w:hAnsi="Arial" w:cs="Arial"/>
        <w:noProof/>
        <w:color w:val="000000" w:themeColor="text1"/>
        <w:sz w:val="20"/>
      </w:rPr>
      <w:t>4</w:t>
    </w:r>
    <w:r w:rsidR="00D61916" w:rsidRPr="00282F59">
      <w:rPr>
        <w:rFonts w:ascii="Arial" w:hAnsi="Arial" w:cs="Arial"/>
        <w:color w:val="000000" w:themeColor="text1"/>
        <w:sz w:val="20"/>
      </w:rPr>
      <w:fldChar w:fldCharType="end"/>
    </w:r>
    <w:proofErr w:type="gramStart"/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  <w:proofErr w:type="gramEnd"/>
  </w:p>
  <w:p w:rsidR="006A05DC" w:rsidRPr="006A05DC" w:rsidRDefault="00475ABD" w:rsidP="006A05D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42" w:rsidRPr="00CD6C42" w:rsidRDefault="00CD6C42" w:rsidP="00CD6C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99" w:rsidRDefault="002D4399" w:rsidP="005A71F9">
      <w:r>
        <w:separator/>
      </w:r>
    </w:p>
  </w:footnote>
  <w:footnote w:type="continuationSeparator" w:id="0">
    <w:p w:rsidR="002D4399" w:rsidRDefault="002D4399" w:rsidP="005A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DC" w:rsidRDefault="00475ABD">
    <w:pPr>
      <w:pStyle w:val="Zhlav"/>
    </w:pPr>
  </w:p>
  <w:p w:rsidR="00925CEA" w:rsidRPr="00925CEA" w:rsidRDefault="00475ABD" w:rsidP="00925C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D1105"/>
    <w:rsid w:val="00120EA0"/>
    <w:rsid w:val="0012195F"/>
    <w:rsid w:val="0012331F"/>
    <w:rsid w:val="001338D2"/>
    <w:rsid w:val="00144288"/>
    <w:rsid w:val="00145398"/>
    <w:rsid w:val="001E502F"/>
    <w:rsid w:val="00211BE4"/>
    <w:rsid w:val="002301C3"/>
    <w:rsid w:val="00282F59"/>
    <w:rsid w:val="002B27EA"/>
    <w:rsid w:val="002D4399"/>
    <w:rsid w:val="00375141"/>
    <w:rsid w:val="00392FEB"/>
    <w:rsid w:val="003A790A"/>
    <w:rsid w:val="00446F38"/>
    <w:rsid w:val="00466610"/>
    <w:rsid w:val="00475ABD"/>
    <w:rsid w:val="004A6112"/>
    <w:rsid w:val="004F4870"/>
    <w:rsid w:val="00500284"/>
    <w:rsid w:val="00530690"/>
    <w:rsid w:val="00576574"/>
    <w:rsid w:val="00585C89"/>
    <w:rsid w:val="00587179"/>
    <w:rsid w:val="005A71F9"/>
    <w:rsid w:val="005C04DF"/>
    <w:rsid w:val="005C5668"/>
    <w:rsid w:val="005C766F"/>
    <w:rsid w:val="005E2B38"/>
    <w:rsid w:val="005E3A19"/>
    <w:rsid w:val="00603DE7"/>
    <w:rsid w:val="0060464E"/>
    <w:rsid w:val="00646956"/>
    <w:rsid w:val="006576FA"/>
    <w:rsid w:val="006603E1"/>
    <w:rsid w:val="006711D3"/>
    <w:rsid w:val="00692F2D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D6C42"/>
    <w:rsid w:val="00D61916"/>
    <w:rsid w:val="00D63ED2"/>
    <w:rsid w:val="00D64313"/>
    <w:rsid w:val="00D75D9F"/>
    <w:rsid w:val="00D80243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78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stejskal@sue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ditel@ddlibina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Socialni</cp:lastModifiedBy>
  <cp:revision>5</cp:revision>
  <cp:lastPrinted>2021-07-08T11:33:00Z</cp:lastPrinted>
  <dcterms:created xsi:type="dcterms:W3CDTF">2021-07-08T11:01:00Z</dcterms:created>
  <dcterms:modified xsi:type="dcterms:W3CDTF">2021-08-12T09:13:00Z</dcterms:modified>
</cp:coreProperties>
</file>