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left="214" w:right="225"/>
        <w:jc w:val="center"/>
      </w:pPr>
      <w:r>
        <w:rPr/>
        <w:t>DODATEK Č. 7 KE SMLOUVĚ O DÍLO</w:t>
      </w:r>
    </w:p>
    <w:p>
      <w:pPr>
        <w:pStyle w:val="BodyText"/>
        <w:spacing w:before="182"/>
        <w:ind w:left="214" w:right="228"/>
        <w:jc w:val="center"/>
      </w:pPr>
      <w:r>
        <w:rPr/>
        <w:t>evidované u Zhotovitele pod číslem jednacím 1277/13</w:t>
      </w: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54" w:lineRule="auto" w:before="1"/>
        <w:ind w:left="214" w:right="229"/>
        <w:jc w:val="center"/>
      </w:pPr>
      <w:r>
        <w:rPr/>
        <w:t>Tento dodatek uzavírají v souladu s ustanoveními § 2586 a násl. Zákona č. 89/2012 Sb., občanského zákoníku, ve znění pozdějších předpisů, tyto smluvní strany: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6948"/>
      </w:tblGrid>
      <w:tr>
        <w:trPr>
          <w:trHeight w:val="467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8"/>
              <w:ind w:left="134"/>
              <w:rPr>
                <w:b/>
                <w:sz w:val="22"/>
              </w:rPr>
            </w:pPr>
            <w:r>
              <w:rPr>
                <w:b/>
                <w:sz w:val="22"/>
              </w:rPr>
              <w:t>Zhotovitel</w:t>
            </w:r>
          </w:p>
        </w:tc>
        <w:tc>
          <w:tcPr>
            <w:tcW w:w="6948" w:type="dxa"/>
          </w:tcPr>
          <w:p>
            <w:pPr>
              <w:pStyle w:val="TableParagraph"/>
              <w:spacing w:line="240" w:lineRule="auto" w:before="18"/>
              <w:ind w:left="129"/>
              <w:rPr>
                <w:b/>
                <w:sz w:val="22"/>
              </w:rPr>
            </w:pPr>
            <w:r>
              <w:rPr>
                <w:b/>
                <w:sz w:val="22"/>
              </w:rPr>
              <w:t>MÚZO Praha s.r.o.</w:t>
            </w:r>
          </w:p>
        </w:tc>
      </w:tr>
      <w:tr>
        <w:trPr>
          <w:trHeight w:val="234" w:hRule="atLeast"/>
        </w:trPr>
        <w:tc>
          <w:tcPr>
            <w:tcW w:w="1992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Sídlo</w:t>
            </w:r>
          </w:p>
        </w:tc>
        <w:tc>
          <w:tcPr>
            <w:tcW w:w="6948" w:type="dxa"/>
          </w:tcPr>
          <w:p>
            <w:pPr>
              <w:pStyle w:val="TableParagraph"/>
              <w:spacing w:line="215" w:lineRule="exact"/>
              <w:ind w:left="122"/>
              <w:rPr>
                <w:sz w:val="22"/>
              </w:rPr>
            </w:pPr>
            <w:r>
              <w:rPr>
                <w:sz w:val="22"/>
              </w:rPr>
              <w:t>Politických vězňů 15, 110 00 Praha 1</w:t>
            </w:r>
          </w:p>
        </w:tc>
      </w:tr>
      <w:tr>
        <w:trPr>
          <w:trHeight w:val="275" w:hRule="atLeast"/>
        </w:trPr>
        <w:tc>
          <w:tcPr>
            <w:tcW w:w="1992" w:type="dxa"/>
          </w:tcPr>
          <w:p>
            <w:pPr>
              <w:pStyle w:val="TableParagraph"/>
              <w:spacing w:line="222" w:lineRule="exact"/>
              <w:ind w:left="131"/>
              <w:rPr>
                <w:sz w:val="22"/>
              </w:rPr>
            </w:pPr>
            <w:r>
              <w:rPr>
                <w:sz w:val="22"/>
              </w:rPr>
              <w:t>Zastoupený</w:t>
            </w:r>
          </w:p>
        </w:tc>
        <w:tc>
          <w:tcPr>
            <w:tcW w:w="6948" w:type="dxa"/>
          </w:tcPr>
          <w:p>
            <w:pPr>
              <w:pStyle w:val="TableParagraph"/>
              <w:spacing w:line="224" w:lineRule="exact"/>
              <w:ind w:left="117"/>
              <w:rPr>
                <w:sz w:val="22"/>
              </w:rPr>
            </w:pPr>
            <w:r>
              <w:rPr>
                <w:sz w:val="22"/>
              </w:rPr>
              <w:t>Ing. Petrem Zaoralem a Ing. Martinem Novotným, jednateli s.r.o.</w:t>
            </w:r>
          </w:p>
        </w:tc>
      </w:tr>
      <w:tr>
        <w:trPr>
          <w:trHeight w:val="546" w:hRule="atLeast"/>
        </w:trPr>
        <w:tc>
          <w:tcPr>
            <w:tcW w:w="1992" w:type="dxa"/>
          </w:tcPr>
          <w:p>
            <w:pPr>
              <w:pStyle w:val="TableParagraph"/>
              <w:spacing w:line="240" w:lineRule="auto" w:before="11"/>
              <w:ind w:left="129"/>
              <w:rPr>
                <w:sz w:val="22"/>
              </w:rPr>
            </w:pPr>
            <w:r>
              <w:rPr>
                <w:sz w:val="22"/>
              </w:rPr>
              <w:t>Druh organizace</w:t>
            </w:r>
          </w:p>
        </w:tc>
        <w:tc>
          <w:tcPr>
            <w:tcW w:w="6948" w:type="dxa"/>
          </w:tcPr>
          <w:p>
            <w:pPr>
              <w:pStyle w:val="TableParagraph"/>
              <w:spacing w:line="270" w:lineRule="atLeast" w:before="7"/>
              <w:ind w:right="159" w:hanging="3"/>
              <w:rPr>
                <w:sz w:val="22"/>
              </w:rPr>
            </w:pPr>
            <w:r>
              <w:rPr>
                <w:sz w:val="22"/>
              </w:rPr>
              <w:t>společnost s ručením omezeným, zapsaná v obchodním rejstříku vedeném Městským soudem v Praze, oddíl C, vložka 24646</w:t>
            </w:r>
          </w:p>
        </w:tc>
      </w:tr>
      <w:tr>
        <w:trPr>
          <w:trHeight w:val="213" w:hRule="atLeast"/>
        </w:trPr>
        <w:tc>
          <w:tcPr>
            <w:tcW w:w="1992" w:type="dxa"/>
          </w:tcPr>
          <w:p>
            <w:pPr>
              <w:pStyle w:val="TableParagraph"/>
              <w:spacing w:line="193" w:lineRule="exact"/>
              <w:ind w:left="117"/>
              <w:rPr>
                <w:sz w:val="22"/>
              </w:rPr>
            </w:pPr>
            <w:r>
              <w:rPr>
                <w:sz w:val="22"/>
              </w:rPr>
              <w:t>IC</w:t>
            </w:r>
          </w:p>
        </w:tc>
        <w:tc>
          <w:tcPr>
            <w:tcW w:w="6948" w:type="dxa"/>
          </w:tcPr>
          <w:p>
            <w:pPr>
              <w:pStyle w:val="TableParagraph"/>
              <w:spacing w:line="193" w:lineRule="exact"/>
              <w:rPr>
                <w:sz w:val="22"/>
              </w:rPr>
            </w:pPr>
            <w:r>
              <w:rPr>
                <w:sz w:val="22"/>
              </w:rPr>
              <w:t>49622897</w:t>
            </w:r>
          </w:p>
        </w:tc>
      </w:tr>
      <w:tr>
        <w:trPr>
          <w:trHeight w:val="215" w:hRule="atLeast"/>
        </w:trPr>
        <w:tc>
          <w:tcPr>
            <w:tcW w:w="1992" w:type="dxa"/>
          </w:tcPr>
          <w:p>
            <w:pPr>
              <w:pStyle w:val="TableParagraph"/>
              <w:spacing w:line="196" w:lineRule="exact"/>
              <w:ind w:left="129"/>
              <w:rPr>
                <w:sz w:val="22"/>
              </w:rPr>
            </w:pPr>
            <w:r>
              <w:rPr>
                <w:sz w:val="22"/>
              </w:rPr>
              <w:t>DIC</w:t>
            </w:r>
          </w:p>
        </w:tc>
        <w:tc>
          <w:tcPr>
            <w:tcW w:w="6948" w:type="dxa"/>
          </w:tcPr>
          <w:p>
            <w:pPr>
              <w:pStyle w:val="TableParagraph"/>
              <w:spacing w:line="196" w:lineRule="exact"/>
              <w:rPr>
                <w:sz w:val="22"/>
              </w:rPr>
            </w:pPr>
            <w:r>
              <w:rPr>
                <w:sz w:val="22"/>
              </w:rPr>
              <w:t>CZ49622897</w:t>
            </w:r>
          </w:p>
        </w:tc>
      </w:tr>
      <w:tr>
        <w:trPr>
          <w:trHeight w:val="222" w:hRule="atLeast"/>
        </w:trPr>
        <w:tc>
          <w:tcPr>
            <w:tcW w:w="1992" w:type="dxa"/>
          </w:tcPr>
          <w:p>
            <w:pPr>
              <w:pStyle w:val="TableParagraph"/>
              <w:spacing w:line="203" w:lineRule="exact"/>
              <w:ind w:left="129"/>
              <w:rPr>
                <w:sz w:val="22"/>
              </w:rPr>
            </w:pPr>
            <w:r>
              <w:rPr>
                <w:sz w:val="22"/>
              </w:rPr>
              <w:t>Bankovní spojení</w:t>
            </w:r>
          </w:p>
        </w:tc>
        <w:tc>
          <w:tcPr>
            <w:tcW w:w="6948" w:type="dxa"/>
          </w:tcPr>
          <w:p>
            <w:pPr>
              <w:pStyle w:val="TableParagraph"/>
              <w:spacing w:line="203" w:lineRule="exact"/>
              <w:rPr>
                <w:sz w:val="22"/>
              </w:rPr>
            </w:pPr>
            <w:r>
              <w:rPr>
                <w:sz w:val="22"/>
              </w:rPr>
              <w:t>CSOB Praha č. ú. 482804123/0300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56"/>
        <w:ind w:left="115"/>
      </w:pPr>
      <w:r>
        <w:rPr>
          <w:w w:val="100"/>
        </w:rPr>
        <w:t>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6965"/>
      </w:tblGrid>
      <w:tr>
        <w:trPr>
          <w:trHeight w:val="467" w:hRule="atLeast"/>
        </w:trPr>
        <w:tc>
          <w:tcPr>
            <w:tcW w:w="1978" w:type="dxa"/>
          </w:tcPr>
          <w:p>
            <w:pPr>
              <w:pStyle w:val="TableParagraph"/>
              <w:spacing w:line="240" w:lineRule="auto" w:before="4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Objednatel</w:t>
            </w:r>
          </w:p>
        </w:tc>
        <w:tc>
          <w:tcPr>
            <w:tcW w:w="6965" w:type="dxa"/>
          </w:tcPr>
          <w:p>
            <w:pPr>
              <w:pStyle w:val="TableParagraph"/>
              <w:spacing w:line="240" w:lineRule="auto" w:before="8"/>
              <w:ind w:left="152"/>
              <w:rPr>
                <w:b/>
                <w:sz w:val="22"/>
              </w:rPr>
            </w:pPr>
            <w:r>
              <w:rPr>
                <w:b/>
                <w:sz w:val="22"/>
              </w:rPr>
              <w:t>Národní ústav duševního zdraví</w:t>
            </w:r>
          </w:p>
        </w:tc>
      </w:tr>
      <w:tr>
        <w:trPr>
          <w:trHeight w:val="230" w:hRule="atLeast"/>
        </w:trPr>
        <w:tc>
          <w:tcPr>
            <w:tcW w:w="1978" w:type="dxa"/>
          </w:tcPr>
          <w:p>
            <w:pPr>
              <w:pStyle w:val="TableParagraph"/>
              <w:spacing w:line="210" w:lineRule="exact"/>
              <w:ind w:left="136"/>
              <w:rPr>
                <w:sz w:val="22"/>
              </w:rPr>
            </w:pPr>
            <w:r>
              <w:rPr>
                <w:sz w:val="22"/>
              </w:rPr>
              <w:t>Sídlo</w:t>
            </w:r>
          </w:p>
        </w:tc>
        <w:tc>
          <w:tcPr>
            <w:tcW w:w="6965" w:type="dxa"/>
          </w:tcPr>
          <w:p>
            <w:pPr>
              <w:pStyle w:val="TableParagraph"/>
              <w:spacing w:line="210" w:lineRule="exact"/>
              <w:ind w:left="143"/>
              <w:rPr>
                <w:sz w:val="22"/>
              </w:rPr>
            </w:pPr>
            <w:r>
              <w:rPr>
                <w:sz w:val="22"/>
              </w:rPr>
              <w:t>Topolová 748, 250 67 Klecany</w:t>
            </w:r>
          </w:p>
        </w:tc>
      </w:tr>
      <w:tr>
        <w:trPr>
          <w:trHeight w:val="213" w:hRule="atLeast"/>
        </w:trPr>
        <w:tc>
          <w:tcPr>
            <w:tcW w:w="1978" w:type="dxa"/>
          </w:tcPr>
          <w:p>
            <w:pPr>
              <w:pStyle w:val="TableParagraph"/>
              <w:spacing w:line="193" w:lineRule="exact"/>
              <w:ind w:left="143"/>
              <w:rPr>
                <w:sz w:val="22"/>
              </w:rPr>
            </w:pPr>
            <w:r>
              <w:rPr>
                <w:sz w:val="22"/>
              </w:rPr>
              <w:t>Zastoupený</w:t>
            </w:r>
          </w:p>
        </w:tc>
        <w:tc>
          <w:tcPr>
            <w:tcW w:w="6965" w:type="dxa"/>
          </w:tcPr>
          <w:p>
            <w:pPr>
              <w:pStyle w:val="TableParagraph"/>
              <w:spacing w:line="193" w:lineRule="exact"/>
              <w:ind w:left="152"/>
              <w:rPr>
                <w:sz w:val="22"/>
              </w:rPr>
            </w:pPr>
            <w:r>
              <w:rPr>
                <w:sz w:val="22"/>
              </w:rPr>
              <w:t>PhDr. Petrem Winklerem, Ph.D., ředitelem</w:t>
            </w:r>
          </w:p>
        </w:tc>
      </w:tr>
      <w:tr>
        <w:trPr>
          <w:trHeight w:val="230" w:hRule="atLeast"/>
        </w:trPr>
        <w:tc>
          <w:tcPr>
            <w:tcW w:w="1978" w:type="dxa"/>
          </w:tcPr>
          <w:p>
            <w:pPr>
              <w:pStyle w:val="TableParagraph"/>
              <w:spacing w:line="210" w:lineRule="exact"/>
              <w:ind w:left="138"/>
              <w:rPr>
                <w:sz w:val="22"/>
              </w:rPr>
            </w:pPr>
            <w:r>
              <w:rPr>
                <w:sz w:val="22"/>
              </w:rPr>
              <w:t>Druh organizace</w:t>
            </w:r>
          </w:p>
        </w:tc>
        <w:tc>
          <w:tcPr>
            <w:tcW w:w="6965" w:type="dxa"/>
          </w:tcPr>
          <w:p>
            <w:pPr>
              <w:pStyle w:val="TableParagraph"/>
              <w:spacing w:line="210" w:lineRule="exact"/>
              <w:ind w:left="155"/>
              <w:rPr>
                <w:sz w:val="22"/>
              </w:rPr>
            </w:pPr>
            <w:r>
              <w:rPr>
                <w:sz w:val="22"/>
              </w:rPr>
              <w:t>příspěvková organizace</w:t>
            </w:r>
          </w:p>
        </w:tc>
      </w:tr>
      <w:tr>
        <w:trPr>
          <w:trHeight w:val="234" w:hRule="atLeast"/>
        </w:trPr>
        <w:tc>
          <w:tcPr>
            <w:tcW w:w="1978" w:type="dxa"/>
          </w:tcPr>
          <w:p>
            <w:pPr>
              <w:pStyle w:val="TableParagraph"/>
              <w:spacing w:line="215" w:lineRule="exact"/>
              <w:rPr>
                <w:sz w:val="22"/>
              </w:rPr>
            </w:pPr>
            <w:r>
              <w:rPr>
                <w:sz w:val="22"/>
              </w:rPr>
              <w:t>IČ</w:t>
            </w:r>
          </w:p>
        </w:tc>
        <w:tc>
          <w:tcPr>
            <w:tcW w:w="6965" w:type="dxa"/>
          </w:tcPr>
          <w:p>
            <w:pPr>
              <w:pStyle w:val="TableParagraph"/>
              <w:spacing w:line="215" w:lineRule="exact"/>
              <w:ind w:left="152"/>
              <w:rPr>
                <w:sz w:val="22"/>
              </w:rPr>
            </w:pPr>
            <w:r>
              <w:rPr>
                <w:sz w:val="22"/>
              </w:rPr>
              <w:t>00023752</w:t>
            </w:r>
          </w:p>
        </w:tc>
      </w:tr>
      <w:tr>
        <w:trPr>
          <w:trHeight w:val="222" w:hRule="atLeast"/>
        </w:trPr>
        <w:tc>
          <w:tcPr>
            <w:tcW w:w="1978" w:type="dxa"/>
          </w:tcPr>
          <w:p>
            <w:pPr>
              <w:pStyle w:val="TableParagraph"/>
              <w:spacing w:line="203" w:lineRule="exact"/>
              <w:ind w:left="138"/>
              <w:rPr>
                <w:sz w:val="22"/>
              </w:rPr>
            </w:pPr>
            <w:r>
              <w:rPr>
                <w:sz w:val="22"/>
              </w:rPr>
              <w:t>DIČ</w:t>
            </w:r>
          </w:p>
        </w:tc>
        <w:tc>
          <w:tcPr>
            <w:tcW w:w="6965" w:type="dxa"/>
          </w:tcPr>
          <w:p>
            <w:pPr>
              <w:pStyle w:val="TableParagraph"/>
              <w:spacing w:line="203" w:lineRule="exact"/>
              <w:ind w:left="143"/>
              <w:rPr>
                <w:sz w:val="22"/>
              </w:rPr>
            </w:pPr>
            <w:r>
              <w:rPr>
                <w:sz w:val="22"/>
              </w:rPr>
              <w:t>CZ00023752</w:t>
            </w:r>
          </w:p>
        </w:tc>
      </w:tr>
      <w:tr>
        <w:trPr>
          <w:trHeight w:val="268" w:hRule="atLeast"/>
        </w:trPr>
        <w:tc>
          <w:tcPr>
            <w:tcW w:w="1978" w:type="dxa"/>
          </w:tcPr>
          <w:p>
            <w:pPr>
              <w:pStyle w:val="TableParagraph"/>
              <w:spacing w:line="222" w:lineRule="exact"/>
              <w:ind w:left="138"/>
              <w:rPr>
                <w:sz w:val="22"/>
              </w:rPr>
            </w:pPr>
            <w:r>
              <w:rPr>
                <w:sz w:val="22"/>
              </w:rPr>
              <w:t>Bankovní spojení</w:t>
            </w:r>
          </w:p>
        </w:tc>
        <w:tc>
          <w:tcPr>
            <w:tcW w:w="6965" w:type="dxa"/>
          </w:tcPr>
          <w:p>
            <w:pPr>
              <w:pStyle w:val="TableParagraph"/>
              <w:spacing w:line="248" w:lineRule="exact"/>
              <w:ind w:left="66"/>
              <w:rPr>
                <w:sz w:val="22"/>
              </w:rPr>
            </w:pPr>
            <w:r>
              <w:rPr>
                <w:sz w:val="22"/>
              </w:rPr>
              <w:t>Česká národní banka č. ú. 25234081/0710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ind w:left="214" w:right="227"/>
        <w:jc w:val="center"/>
      </w:pPr>
      <w:r>
        <w:rPr/>
        <w:t>I.</w:t>
      </w:r>
    </w:p>
    <w:p>
      <w:pPr>
        <w:pStyle w:val="BodyText"/>
        <w:spacing w:line="259" w:lineRule="auto" w:before="183"/>
        <w:ind w:left="116" w:right="127" w:hanging="1"/>
        <w:jc w:val="both"/>
      </w:pPr>
      <w:r>
        <w:rPr/>
        <w:t>Smluvní</w:t>
      </w:r>
      <w:r>
        <w:rPr>
          <w:spacing w:val="-6"/>
        </w:rPr>
        <w:t> </w:t>
      </w:r>
      <w:r>
        <w:rPr/>
        <w:t>strany</w:t>
      </w:r>
      <w:r>
        <w:rPr>
          <w:spacing w:val="-5"/>
        </w:rPr>
        <w:t> </w:t>
      </w:r>
      <w:r>
        <w:rPr/>
        <w:t>uzavřely</w:t>
      </w:r>
      <w:r>
        <w:rPr>
          <w:spacing w:val="-5"/>
        </w:rPr>
        <w:t> </w:t>
      </w:r>
      <w:r>
        <w:rPr/>
        <w:t>dne</w:t>
      </w:r>
      <w:r>
        <w:rPr>
          <w:spacing w:val="-5"/>
        </w:rPr>
        <w:t> </w:t>
      </w:r>
      <w:r>
        <w:rPr/>
        <w:t>10.</w:t>
      </w:r>
      <w:r>
        <w:rPr>
          <w:spacing w:val="-9"/>
        </w:rPr>
        <w:t> </w:t>
      </w:r>
      <w:r>
        <w:rPr/>
        <w:t>4.</w:t>
      </w:r>
      <w:r>
        <w:rPr>
          <w:spacing w:val="-6"/>
        </w:rPr>
        <w:t> </w:t>
      </w:r>
      <w:r>
        <w:rPr/>
        <w:t>2018</w:t>
      </w:r>
      <w:r>
        <w:rPr>
          <w:spacing w:val="-5"/>
        </w:rPr>
        <w:t> </w:t>
      </w:r>
      <w:r>
        <w:rPr/>
        <w:t>dodatek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5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dne</w:t>
      </w:r>
      <w:r>
        <w:rPr>
          <w:spacing w:val="-5"/>
        </w:rPr>
        <w:t> </w:t>
      </w:r>
      <w:r>
        <w:rPr/>
        <w:t>28.</w:t>
      </w:r>
      <w:r>
        <w:rPr>
          <w:spacing w:val="-6"/>
        </w:rPr>
        <w:t> </w:t>
      </w:r>
      <w:r>
        <w:rPr/>
        <w:t>11.</w:t>
      </w:r>
      <w:r>
        <w:rPr>
          <w:spacing w:val="-6"/>
        </w:rPr>
        <w:t> </w:t>
      </w:r>
      <w:r>
        <w:rPr/>
        <w:t>2019</w:t>
      </w:r>
      <w:r>
        <w:rPr>
          <w:spacing w:val="-5"/>
        </w:rPr>
        <w:t> </w:t>
      </w:r>
      <w:r>
        <w:rPr/>
        <w:t>dodatek</w:t>
      </w:r>
      <w:r>
        <w:rPr>
          <w:spacing w:val="-5"/>
        </w:rPr>
        <w:t> </w:t>
      </w:r>
      <w:r>
        <w:rPr/>
        <w:t>č.</w:t>
      </w:r>
      <w:r>
        <w:rPr>
          <w:spacing w:val="-6"/>
        </w:rPr>
        <w:t> </w:t>
      </w:r>
      <w:r>
        <w:rPr/>
        <w:t>6</w:t>
      </w:r>
      <w:r>
        <w:rPr>
          <w:spacing w:val="-4"/>
        </w:rPr>
        <w:t> </w:t>
      </w:r>
      <w:r>
        <w:rPr/>
        <w:t>ke</w:t>
      </w:r>
      <w:r>
        <w:rPr>
          <w:spacing w:val="-5"/>
        </w:rPr>
        <w:t> </w:t>
      </w:r>
      <w:r>
        <w:rPr/>
        <w:t>Smlouvě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dílo ze dne 16. 4. 2013 evidované u zhotovitele pod číslem jednacím 1277/13 (dále jen „Smlouva o dílo“). Vzhledem ke skutečnosti, že uvedené dodatky nebyly uveřejněny v souladu se zákonem č. 340/2015, o registru smluv, ve zněních pozdějších předpisů (dále jen „zákon o registru smluv“), uzavřely smluvní strany</w:t>
      </w:r>
      <w:r>
        <w:rPr>
          <w:spacing w:val="-16"/>
        </w:rPr>
        <w:t> </w:t>
      </w:r>
      <w:r>
        <w:rPr/>
        <w:t>Dohodu</w:t>
      </w:r>
      <w:r>
        <w:rPr>
          <w:spacing w:val="-17"/>
        </w:rPr>
        <w:t> </w:t>
      </w:r>
      <w:r>
        <w:rPr/>
        <w:t>o</w:t>
      </w:r>
      <w:r>
        <w:rPr>
          <w:spacing w:val="-15"/>
        </w:rPr>
        <w:t> </w:t>
      </w:r>
      <w:r>
        <w:rPr/>
        <w:t>vypořádání</w:t>
      </w:r>
      <w:r>
        <w:rPr>
          <w:spacing w:val="-14"/>
        </w:rPr>
        <w:t> </w:t>
      </w:r>
      <w:r>
        <w:rPr/>
        <w:t>bezdůvodného</w:t>
      </w:r>
      <w:r>
        <w:rPr>
          <w:spacing w:val="-15"/>
        </w:rPr>
        <w:t> </w:t>
      </w:r>
      <w:r>
        <w:rPr/>
        <w:t>obohacení,</w:t>
      </w:r>
      <w:r>
        <w:rPr>
          <w:spacing w:val="-16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6"/>
        </w:rPr>
        <w:t> </w:t>
      </w:r>
      <w:r>
        <w:rPr/>
        <w:t>které</w:t>
      </w:r>
      <w:r>
        <w:rPr>
          <w:spacing w:val="-16"/>
        </w:rPr>
        <w:t> </w:t>
      </w:r>
      <w:r>
        <w:rPr/>
        <w:t>si</w:t>
      </w:r>
      <w:r>
        <w:rPr>
          <w:spacing w:val="-14"/>
        </w:rPr>
        <w:t> </w:t>
      </w:r>
      <w:r>
        <w:rPr/>
        <w:t>vzájemně</w:t>
      </w:r>
      <w:r>
        <w:rPr>
          <w:spacing w:val="-13"/>
        </w:rPr>
        <w:t> </w:t>
      </w:r>
      <w:r>
        <w:rPr/>
        <w:t>poskytnutá</w:t>
      </w:r>
      <w:r>
        <w:rPr>
          <w:spacing w:val="-14"/>
        </w:rPr>
        <w:t> </w:t>
      </w:r>
      <w:r>
        <w:rPr/>
        <w:t>plnění na základě dodatků č. 5 a 6 Smlouvy o dílo</w:t>
      </w:r>
      <w:r>
        <w:rPr>
          <w:spacing w:val="-8"/>
        </w:rPr>
        <w:t> </w:t>
      </w:r>
      <w:r>
        <w:rPr/>
        <w:t>ponechávají.</w:t>
      </w:r>
    </w:p>
    <w:p>
      <w:pPr>
        <w:pStyle w:val="BodyText"/>
        <w:spacing w:before="156"/>
        <w:ind w:left="3226"/>
      </w:pPr>
      <w:r>
        <w:rPr/>
        <w:t>II. Změna článku 3. odstavce 3.1</w:t>
      </w:r>
    </w:p>
    <w:p>
      <w:pPr>
        <w:pStyle w:val="BodyText"/>
        <w:spacing w:line="256" w:lineRule="auto" w:before="185"/>
        <w:ind w:left="116" w:right="127"/>
        <w:jc w:val="both"/>
      </w:pPr>
      <w:r>
        <w:rPr/>
        <w:t>Dodatkem č. 7 Smlouvy o dílo smluvní strany potvrzují, že ke dni uzavření tohoto dodatku byla objednateli poskytnuta Licence k modulům a pro počet uživatelů uvedených v následující tabulce: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1797"/>
      </w:tblGrid>
      <w:tr>
        <w:trPr>
          <w:trHeight w:val="165" w:hRule="atLeast"/>
        </w:trPr>
        <w:tc>
          <w:tcPr>
            <w:tcW w:w="8032" w:type="dxa"/>
            <w:gridSpan w:val="2"/>
          </w:tcPr>
          <w:p>
            <w:pPr>
              <w:pStyle w:val="TableParagraph"/>
              <w:spacing w:line="145" w:lineRule="exact"/>
              <w:ind w:left="3487" w:right="3427"/>
              <w:jc w:val="center"/>
              <w:rPr>
                <w:b/>
                <w:sz w:val="20"/>
              </w:rPr>
            </w:pPr>
            <w:r>
              <w:rPr>
                <w:b/>
                <w:color w:val="151518"/>
                <w:w w:val="105"/>
                <w:sz w:val="20"/>
              </w:rPr>
              <w:t>Tlustý klient</w:t>
            </w:r>
          </w:p>
        </w:tc>
      </w:tr>
      <w:tr>
        <w:trPr>
          <w:trHeight w:val="278" w:hRule="atLeast"/>
        </w:trPr>
        <w:tc>
          <w:tcPr>
            <w:tcW w:w="6235" w:type="dxa"/>
          </w:tcPr>
          <w:p>
            <w:pPr>
              <w:pStyle w:val="TableParagraph"/>
              <w:spacing w:line="169" w:lineRule="exact"/>
              <w:ind w:left="119"/>
              <w:rPr>
                <w:b/>
                <w:sz w:val="20"/>
              </w:rPr>
            </w:pPr>
            <w:r>
              <w:rPr>
                <w:b/>
                <w:color w:val="151518"/>
                <w:w w:val="105"/>
                <w:sz w:val="20"/>
              </w:rPr>
              <w:t>Modul</w:t>
            </w:r>
          </w:p>
        </w:tc>
        <w:tc>
          <w:tcPr>
            <w:tcW w:w="1797" w:type="dxa"/>
          </w:tcPr>
          <w:p>
            <w:pPr>
              <w:pStyle w:val="TableParagraph"/>
              <w:spacing w:line="169" w:lineRule="exact"/>
              <w:ind w:left="237" w:right="176"/>
              <w:jc w:val="center"/>
              <w:rPr>
                <w:b/>
                <w:sz w:val="20"/>
              </w:rPr>
            </w:pPr>
            <w:r>
              <w:rPr>
                <w:b/>
                <w:color w:val="151518"/>
                <w:w w:val="105"/>
                <w:sz w:val="20"/>
              </w:rPr>
              <w:t>Počet uživatelů</w:t>
            </w:r>
          </w:p>
        </w:tc>
      </w:tr>
      <w:tr>
        <w:trPr>
          <w:trHeight w:val="170" w:hRule="atLeast"/>
        </w:trPr>
        <w:tc>
          <w:tcPr>
            <w:tcW w:w="6235" w:type="dxa"/>
          </w:tcPr>
          <w:p>
            <w:pPr>
              <w:pStyle w:val="TableParagraph"/>
              <w:spacing w:line="150" w:lineRule="exact"/>
              <w:rPr>
                <w:sz w:val="20"/>
              </w:rPr>
            </w:pPr>
            <w:r>
              <w:rPr>
                <w:color w:val="151518"/>
                <w:sz w:val="20"/>
              </w:rPr>
              <w:t>Podvojné účetnictví</w:t>
            </w:r>
          </w:p>
        </w:tc>
        <w:tc>
          <w:tcPr>
            <w:tcW w:w="1797" w:type="dxa"/>
          </w:tcPr>
          <w:p>
            <w:pPr>
              <w:pStyle w:val="TableParagraph"/>
              <w:spacing w:line="150" w:lineRule="exact"/>
              <w:ind w:left="56"/>
              <w:jc w:val="center"/>
              <w:rPr>
                <w:sz w:val="20"/>
              </w:rPr>
            </w:pPr>
            <w:r>
              <w:rPr>
                <w:color w:val="302F30"/>
                <w:w w:val="89"/>
                <w:sz w:val="20"/>
              </w:rPr>
              <w:t>8</w:t>
            </w:r>
          </w:p>
        </w:tc>
      </w:tr>
      <w:tr>
        <w:trPr>
          <w:trHeight w:val="179" w:hRule="atLeast"/>
        </w:trPr>
        <w:tc>
          <w:tcPr>
            <w:tcW w:w="6235" w:type="dxa"/>
          </w:tcPr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151518"/>
                <w:w w:val="110"/>
                <w:sz w:val="20"/>
              </w:rPr>
              <w:t>Z</w:t>
            </w:r>
            <w:r>
              <w:rPr>
                <w:color w:val="302F30"/>
                <w:w w:val="110"/>
                <w:sz w:val="20"/>
              </w:rPr>
              <w:t>ávaz</w:t>
            </w:r>
            <w:r>
              <w:rPr>
                <w:color w:val="151518"/>
                <w:w w:val="110"/>
                <w:sz w:val="20"/>
              </w:rPr>
              <w:t>k</w:t>
            </w:r>
            <w:r>
              <w:rPr>
                <w:color w:val="302F30"/>
                <w:w w:val="110"/>
                <w:sz w:val="20"/>
              </w:rPr>
              <w:t>y</w:t>
            </w:r>
          </w:p>
        </w:tc>
        <w:tc>
          <w:tcPr>
            <w:tcW w:w="1797" w:type="dxa"/>
          </w:tcPr>
          <w:p>
            <w:pPr>
              <w:pStyle w:val="TableParagraph"/>
              <w:ind w:left="72"/>
              <w:jc w:val="center"/>
              <w:rPr>
                <w:sz w:val="20"/>
              </w:rPr>
            </w:pPr>
            <w:r>
              <w:rPr>
                <w:color w:val="302F30"/>
                <w:w w:val="105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235" w:type="dxa"/>
          </w:tcPr>
          <w:p>
            <w:pPr>
              <w:pStyle w:val="TableParagraph"/>
              <w:spacing w:line="145" w:lineRule="exact"/>
              <w:rPr>
                <w:sz w:val="20"/>
              </w:rPr>
            </w:pPr>
            <w:r>
              <w:rPr>
                <w:color w:val="151518"/>
                <w:sz w:val="20"/>
              </w:rPr>
              <w:t>Pohledávky</w:t>
            </w:r>
          </w:p>
        </w:tc>
        <w:tc>
          <w:tcPr>
            <w:tcW w:w="1797" w:type="dxa"/>
          </w:tcPr>
          <w:p>
            <w:pPr>
              <w:pStyle w:val="TableParagraph"/>
              <w:spacing w:line="145" w:lineRule="exact"/>
              <w:ind w:left="82"/>
              <w:jc w:val="center"/>
              <w:rPr>
                <w:sz w:val="20"/>
              </w:rPr>
            </w:pPr>
            <w:r>
              <w:rPr>
                <w:color w:val="302F30"/>
                <w:w w:val="101"/>
                <w:sz w:val="20"/>
              </w:rPr>
              <w:t>5</w:t>
            </w:r>
          </w:p>
        </w:tc>
      </w:tr>
      <w:tr>
        <w:trPr>
          <w:trHeight w:val="177" w:hRule="atLeast"/>
        </w:trPr>
        <w:tc>
          <w:tcPr>
            <w:tcW w:w="6235" w:type="dxa"/>
          </w:tcPr>
          <w:p>
            <w:pPr>
              <w:pStyle w:val="TableParagraph"/>
              <w:spacing w:line="157" w:lineRule="exact"/>
              <w:rPr>
                <w:sz w:val="20"/>
              </w:rPr>
            </w:pPr>
            <w:r>
              <w:rPr>
                <w:color w:val="151518"/>
                <w:w w:val="110"/>
                <w:sz w:val="20"/>
              </w:rPr>
              <w:t>B</w:t>
            </w:r>
            <w:r>
              <w:rPr>
                <w:color w:val="302F30"/>
                <w:w w:val="110"/>
                <w:sz w:val="20"/>
              </w:rPr>
              <w:t>a</w:t>
            </w:r>
            <w:r>
              <w:rPr>
                <w:color w:val="151518"/>
                <w:w w:val="110"/>
                <w:sz w:val="20"/>
              </w:rPr>
              <w:t>n</w:t>
            </w:r>
            <w:r>
              <w:rPr>
                <w:color w:val="302F30"/>
                <w:w w:val="110"/>
                <w:sz w:val="20"/>
              </w:rPr>
              <w:t>k</w:t>
            </w:r>
            <w:r>
              <w:rPr>
                <w:color w:val="151518"/>
                <w:w w:val="110"/>
                <w:sz w:val="20"/>
              </w:rPr>
              <w:t>a</w:t>
            </w:r>
          </w:p>
        </w:tc>
        <w:tc>
          <w:tcPr>
            <w:tcW w:w="1797" w:type="dxa"/>
          </w:tcPr>
          <w:p>
            <w:pPr>
              <w:pStyle w:val="TableParagraph"/>
              <w:spacing w:line="157" w:lineRule="exact"/>
              <w:ind w:left="86"/>
              <w:jc w:val="center"/>
              <w:rPr>
                <w:sz w:val="20"/>
              </w:rPr>
            </w:pPr>
            <w:r>
              <w:rPr>
                <w:color w:val="302F30"/>
                <w:w w:val="105"/>
                <w:sz w:val="20"/>
              </w:rPr>
              <w:t>3</w:t>
            </w:r>
          </w:p>
        </w:tc>
      </w:tr>
      <w:tr>
        <w:trPr>
          <w:trHeight w:val="179" w:hRule="atLeast"/>
        </w:trPr>
        <w:tc>
          <w:tcPr>
            <w:tcW w:w="62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151518"/>
                <w:sz w:val="20"/>
              </w:rPr>
              <w:t>Pokladna</w:t>
            </w:r>
          </w:p>
        </w:tc>
        <w:tc>
          <w:tcPr>
            <w:tcW w:w="1797" w:type="dxa"/>
          </w:tcPr>
          <w:p>
            <w:pPr>
              <w:pStyle w:val="TableParagraph"/>
              <w:ind w:left="77"/>
              <w:jc w:val="center"/>
              <w:rPr>
                <w:sz w:val="20"/>
              </w:rPr>
            </w:pPr>
            <w:r>
              <w:rPr>
                <w:color w:val="302F30"/>
                <w:w w:val="96"/>
                <w:sz w:val="20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6235" w:type="dxa"/>
          </w:tcPr>
          <w:p>
            <w:pPr>
              <w:pStyle w:val="TableParagraph"/>
              <w:spacing w:line="152" w:lineRule="exact"/>
              <w:ind w:left="124"/>
              <w:rPr>
                <w:sz w:val="20"/>
              </w:rPr>
            </w:pPr>
            <w:r>
              <w:rPr>
                <w:color w:val="151518"/>
                <w:w w:val="110"/>
                <w:sz w:val="20"/>
              </w:rPr>
              <w:t>S</w:t>
            </w:r>
            <w:r>
              <w:rPr>
                <w:color w:val="302F30"/>
                <w:w w:val="110"/>
                <w:sz w:val="20"/>
              </w:rPr>
              <w:t>mlouvy</w:t>
            </w:r>
          </w:p>
        </w:tc>
        <w:tc>
          <w:tcPr>
            <w:tcW w:w="1797" w:type="dxa"/>
          </w:tcPr>
          <w:p>
            <w:pPr>
              <w:pStyle w:val="TableParagraph"/>
              <w:spacing w:line="152" w:lineRule="exact"/>
              <w:ind w:left="93"/>
              <w:jc w:val="center"/>
              <w:rPr>
                <w:sz w:val="20"/>
              </w:rPr>
            </w:pPr>
            <w:r>
              <w:rPr>
                <w:color w:val="302F30"/>
                <w:w w:val="108"/>
                <w:sz w:val="20"/>
              </w:rPr>
              <w:t>2</w:t>
            </w:r>
          </w:p>
        </w:tc>
      </w:tr>
    </w:tbl>
    <w:p>
      <w:pPr>
        <w:spacing w:after="0" w:line="152" w:lineRule="exact"/>
        <w:jc w:val="center"/>
        <w:rPr>
          <w:sz w:val="20"/>
        </w:rPr>
        <w:sectPr>
          <w:type w:val="continuous"/>
          <w:pgSz w:w="11900" w:h="16840"/>
          <w:pgMar w:top="1380" w:bottom="280" w:left="1300" w:right="1280"/>
        </w:sectPr>
      </w:pPr>
    </w:p>
    <w:tbl>
      <w:tblPr>
        <w:tblW w:w="0" w:type="auto"/>
        <w:jc w:val="left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5"/>
        <w:gridCol w:w="1797"/>
      </w:tblGrid>
      <w:tr>
        <w:trPr>
          <w:trHeight w:val="179" w:hRule="atLeast"/>
        </w:trPr>
        <w:tc>
          <w:tcPr>
            <w:tcW w:w="6235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color w:val="151517"/>
                <w:w w:val="105"/>
                <w:sz w:val="20"/>
              </w:rPr>
              <w:t>Objednávky</w:t>
            </w:r>
          </w:p>
        </w:tc>
        <w:tc>
          <w:tcPr>
            <w:tcW w:w="1797" w:type="dxa"/>
          </w:tcPr>
          <w:p>
            <w:pPr>
              <w:pStyle w:val="TableParagraph"/>
              <w:ind w:left="237" w:right="167"/>
              <w:jc w:val="center"/>
              <w:rPr>
                <w:sz w:val="20"/>
              </w:rPr>
            </w:pPr>
            <w:r>
              <w:rPr>
                <w:color w:val="302E30"/>
                <w:w w:val="105"/>
                <w:sz w:val="20"/>
              </w:rPr>
              <w:t>18</w:t>
            </w:r>
          </w:p>
        </w:tc>
      </w:tr>
      <w:tr>
        <w:trPr>
          <w:trHeight w:val="165" w:hRule="atLeast"/>
        </w:trPr>
        <w:tc>
          <w:tcPr>
            <w:tcW w:w="6235" w:type="dxa"/>
          </w:tcPr>
          <w:p>
            <w:pPr>
              <w:pStyle w:val="TableParagraph"/>
              <w:spacing w:line="145" w:lineRule="exact"/>
              <w:rPr>
                <w:sz w:val="20"/>
              </w:rPr>
            </w:pPr>
            <w:r>
              <w:rPr>
                <w:color w:val="151517"/>
                <w:sz w:val="20"/>
              </w:rPr>
              <w:t>Evidence majetku</w:t>
            </w:r>
          </w:p>
        </w:tc>
        <w:tc>
          <w:tcPr>
            <w:tcW w:w="1797" w:type="dxa"/>
          </w:tcPr>
          <w:p>
            <w:pPr>
              <w:pStyle w:val="TableParagraph"/>
              <w:spacing w:line="145" w:lineRule="exact"/>
              <w:ind w:left="79"/>
              <w:jc w:val="center"/>
              <w:rPr>
                <w:sz w:val="20"/>
              </w:rPr>
            </w:pPr>
            <w:r>
              <w:rPr>
                <w:color w:val="302E30"/>
                <w:w w:val="99"/>
                <w:sz w:val="20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6235" w:type="dxa"/>
          </w:tcPr>
          <w:p>
            <w:pPr>
              <w:pStyle w:val="TableParagraph"/>
              <w:spacing w:line="157" w:lineRule="exact"/>
              <w:ind w:left="124"/>
              <w:rPr>
                <w:sz w:val="20"/>
              </w:rPr>
            </w:pPr>
            <w:r>
              <w:rPr>
                <w:color w:val="151517"/>
                <w:w w:val="105"/>
                <w:sz w:val="20"/>
              </w:rPr>
              <w:t>Skladové hospodářství</w:t>
            </w:r>
          </w:p>
        </w:tc>
        <w:tc>
          <w:tcPr>
            <w:tcW w:w="1797" w:type="dxa"/>
          </w:tcPr>
          <w:p>
            <w:pPr>
              <w:pStyle w:val="TableParagraph"/>
              <w:spacing w:line="157" w:lineRule="exact"/>
              <w:ind w:left="89"/>
              <w:jc w:val="center"/>
              <w:rPr>
                <w:sz w:val="20"/>
              </w:rPr>
            </w:pPr>
            <w:r>
              <w:rPr>
                <w:color w:val="302E30"/>
                <w:w w:val="103"/>
                <w:sz w:val="20"/>
              </w:rPr>
              <w:t>2</w:t>
            </w:r>
          </w:p>
        </w:tc>
      </w:tr>
      <w:tr>
        <w:trPr>
          <w:trHeight w:val="172" w:hRule="atLeast"/>
        </w:trPr>
        <w:tc>
          <w:tcPr>
            <w:tcW w:w="6235" w:type="dxa"/>
          </w:tcPr>
          <w:p>
            <w:pPr>
              <w:pStyle w:val="TableParagraph"/>
              <w:spacing w:line="152" w:lineRule="exact"/>
              <w:ind w:left="124"/>
              <w:rPr>
                <w:sz w:val="20"/>
              </w:rPr>
            </w:pPr>
            <w:r>
              <w:rPr>
                <w:color w:val="151517"/>
                <w:w w:val="105"/>
                <w:sz w:val="20"/>
              </w:rPr>
              <w:t>Cestovní příkazy tuzemské</w:t>
            </w:r>
          </w:p>
        </w:tc>
        <w:tc>
          <w:tcPr>
            <w:tcW w:w="1797" w:type="dxa"/>
          </w:tcPr>
          <w:p>
            <w:pPr>
              <w:pStyle w:val="TableParagraph"/>
              <w:spacing w:line="152" w:lineRule="exact"/>
              <w:ind w:left="84"/>
              <w:jc w:val="center"/>
              <w:rPr>
                <w:sz w:val="20"/>
              </w:rPr>
            </w:pPr>
            <w:r>
              <w:rPr>
                <w:color w:val="302E30"/>
                <w:w w:val="103"/>
                <w:sz w:val="20"/>
              </w:rPr>
              <w:t>3</w:t>
            </w:r>
          </w:p>
        </w:tc>
      </w:tr>
      <w:tr>
        <w:trPr>
          <w:trHeight w:val="179" w:hRule="atLeast"/>
        </w:trPr>
        <w:tc>
          <w:tcPr>
            <w:tcW w:w="6235" w:type="dxa"/>
          </w:tcPr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color w:val="302E30"/>
                <w:w w:val="105"/>
                <w:sz w:val="20"/>
              </w:rPr>
              <w:t>Cestovní příkazy zahrani</w:t>
            </w:r>
            <w:r>
              <w:rPr>
                <w:color w:val="474747"/>
                <w:w w:val="105"/>
                <w:sz w:val="20"/>
              </w:rPr>
              <w:t>č</w:t>
            </w:r>
            <w:r>
              <w:rPr>
                <w:color w:val="302E30"/>
                <w:w w:val="105"/>
                <w:sz w:val="20"/>
              </w:rPr>
              <w:t>ní</w:t>
            </w:r>
          </w:p>
        </w:tc>
        <w:tc>
          <w:tcPr>
            <w:tcW w:w="1797" w:type="dxa"/>
          </w:tcPr>
          <w:p>
            <w:pPr>
              <w:pStyle w:val="TableParagraph"/>
              <w:ind w:left="86"/>
              <w:jc w:val="center"/>
              <w:rPr>
                <w:sz w:val="20"/>
              </w:rPr>
            </w:pPr>
            <w:r>
              <w:rPr>
                <w:color w:val="302E30"/>
                <w:w w:val="105"/>
                <w:sz w:val="20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6235" w:type="dxa"/>
          </w:tcPr>
          <w:p>
            <w:pPr>
              <w:pStyle w:val="TableParagraph"/>
              <w:spacing w:line="152" w:lineRule="exact"/>
              <w:ind w:left="134"/>
              <w:rPr>
                <w:sz w:val="20"/>
              </w:rPr>
            </w:pPr>
            <w:r>
              <w:rPr>
                <w:color w:val="302E30"/>
                <w:sz w:val="20"/>
              </w:rPr>
              <w:t>Komunikace s ISRS</w:t>
            </w:r>
          </w:p>
        </w:tc>
        <w:tc>
          <w:tcPr>
            <w:tcW w:w="1797" w:type="dxa"/>
          </w:tcPr>
          <w:p>
            <w:pPr>
              <w:pStyle w:val="TableParagraph"/>
              <w:spacing w:line="152" w:lineRule="exact"/>
              <w:ind w:left="237" w:right="148"/>
              <w:jc w:val="center"/>
              <w:rPr>
                <w:sz w:val="20"/>
              </w:rPr>
            </w:pPr>
            <w:r>
              <w:rPr>
                <w:color w:val="302E30"/>
                <w:w w:val="105"/>
                <w:sz w:val="20"/>
              </w:rPr>
              <w:t>bez omezení</w:t>
            </w:r>
          </w:p>
        </w:tc>
      </w:tr>
    </w:tbl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8"/>
        <w:gridCol w:w="1805"/>
      </w:tblGrid>
      <w:tr>
        <w:trPr>
          <w:trHeight w:val="170" w:hRule="atLeast"/>
        </w:trPr>
        <w:tc>
          <w:tcPr>
            <w:tcW w:w="8033" w:type="dxa"/>
            <w:gridSpan w:val="2"/>
          </w:tcPr>
          <w:p>
            <w:pPr>
              <w:pStyle w:val="TableParagraph"/>
              <w:spacing w:line="150" w:lineRule="exact"/>
              <w:ind w:left="3457" w:right="339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151517"/>
                <w:w w:val="115"/>
                <w:sz w:val="17"/>
              </w:rPr>
              <w:t>Lehký klient</w:t>
            </w:r>
          </w:p>
        </w:tc>
      </w:tr>
      <w:tr>
        <w:trPr>
          <w:trHeight w:val="179" w:hRule="atLeast"/>
        </w:trPr>
        <w:tc>
          <w:tcPr>
            <w:tcW w:w="6228" w:type="dxa"/>
          </w:tcPr>
          <w:p>
            <w:pPr>
              <w:pStyle w:val="TableParagraph"/>
              <w:ind w:left="1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151517"/>
                <w:w w:val="110"/>
                <w:sz w:val="17"/>
              </w:rPr>
              <w:t>Modul</w:t>
            </w:r>
          </w:p>
        </w:tc>
        <w:tc>
          <w:tcPr>
            <w:tcW w:w="1805" w:type="dxa"/>
          </w:tcPr>
          <w:p>
            <w:pPr>
              <w:pStyle w:val="TableParagraph"/>
              <w:ind w:left="223" w:right="17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10"/>
                <w:sz w:val="17"/>
              </w:rPr>
              <w:t>Počet uživatelů</w:t>
            </w:r>
          </w:p>
        </w:tc>
      </w:tr>
      <w:tr>
        <w:trPr>
          <w:trHeight w:val="179" w:hRule="atLeast"/>
        </w:trPr>
        <w:tc>
          <w:tcPr>
            <w:tcW w:w="6228" w:type="dxa"/>
          </w:tcPr>
          <w:p>
            <w:pPr>
              <w:pStyle w:val="TableParagraph"/>
              <w:ind w:left="11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02E30"/>
                <w:sz w:val="17"/>
              </w:rPr>
              <w:t>Cestovní příkazy tuzemské</w:t>
            </w:r>
          </w:p>
        </w:tc>
        <w:tc>
          <w:tcPr>
            <w:tcW w:w="1805" w:type="dxa"/>
          </w:tcPr>
          <w:p>
            <w:pPr>
              <w:pStyle w:val="TableParagraph"/>
              <w:ind w:left="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02E30"/>
                <w:w w:val="103"/>
                <w:sz w:val="18"/>
              </w:rPr>
              <w:t>9</w:t>
            </w:r>
          </w:p>
        </w:tc>
      </w:tr>
      <w:tr>
        <w:trPr>
          <w:trHeight w:val="179" w:hRule="atLeast"/>
        </w:trPr>
        <w:tc>
          <w:tcPr>
            <w:tcW w:w="6228" w:type="dxa"/>
          </w:tcPr>
          <w:p>
            <w:pPr>
              <w:pStyle w:val="TableParagraph"/>
              <w:ind w:left="11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302E30"/>
                <w:sz w:val="17"/>
              </w:rPr>
              <w:t>Cestovní př</w:t>
            </w:r>
            <w:r>
              <w:rPr>
                <w:rFonts w:ascii="Arial" w:hAnsi="Arial"/>
                <w:color w:val="151517"/>
                <w:sz w:val="17"/>
              </w:rPr>
              <w:t>í</w:t>
            </w:r>
            <w:r>
              <w:rPr>
                <w:rFonts w:ascii="Arial" w:hAnsi="Arial"/>
                <w:color w:val="302E30"/>
                <w:sz w:val="17"/>
              </w:rPr>
              <w:t>kazy zahraniční</w:t>
            </w:r>
          </w:p>
        </w:tc>
        <w:tc>
          <w:tcPr>
            <w:tcW w:w="1805" w:type="dxa"/>
          </w:tcPr>
          <w:p>
            <w:pPr>
              <w:pStyle w:val="TableParagraph"/>
              <w:ind w:left="5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02E30"/>
                <w:w w:val="103"/>
                <w:sz w:val="18"/>
              </w:rPr>
              <w:t>9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BodyText"/>
        <w:spacing w:before="56"/>
        <w:ind w:left="115" w:right="130"/>
        <w:jc w:val="both"/>
      </w:pPr>
      <w:r>
        <w:rPr>
          <w:w w:val="105"/>
        </w:rPr>
        <w:t>Smluvní strany konstatují, že cena Licence EIS JASU® vymezená výše a uhrazená Zhotoviteli na základě Smlouvy o dílo a předchozích dodatků č. 1 – č. 6 činí 244 544 Kč bez DPH a je základní cenou</w:t>
      </w:r>
      <w:r>
        <w:rPr>
          <w:spacing w:val="-11"/>
          <w:w w:val="105"/>
        </w:rPr>
        <w:t> </w:t>
      </w:r>
      <w:r>
        <w:rPr>
          <w:w w:val="105"/>
        </w:rPr>
        <w:t>Licence</w:t>
      </w:r>
      <w:r>
        <w:rPr>
          <w:spacing w:val="-6"/>
          <w:w w:val="105"/>
        </w:rPr>
        <w:t> </w:t>
      </w:r>
      <w:r>
        <w:rPr>
          <w:w w:val="105"/>
        </w:rPr>
        <w:t>bez</w:t>
      </w:r>
      <w:r>
        <w:rPr>
          <w:spacing w:val="-10"/>
          <w:w w:val="105"/>
        </w:rPr>
        <w:t> </w:t>
      </w:r>
      <w:r>
        <w:rPr>
          <w:w w:val="105"/>
        </w:rPr>
        <w:t>DPH</w:t>
      </w:r>
      <w:r>
        <w:rPr>
          <w:spacing w:val="-8"/>
          <w:w w:val="105"/>
        </w:rPr>
        <w:t> </w:t>
      </w:r>
      <w:r>
        <w:rPr>
          <w:w w:val="105"/>
        </w:rPr>
        <w:t>pro</w:t>
      </w:r>
      <w:r>
        <w:rPr>
          <w:spacing w:val="-8"/>
          <w:w w:val="105"/>
        </w:rPr>
        <w:t> </w:t>
      </w:r>
      <w:r>
        <w:rPr>
          <w:w w:val="105"/>
        </w:rPr>
        <w:t>účely</w:t>
      </w:r>
      <w:r>
        <w:rPr>
          <w:spacing w:val="-11"/>
          <w:w w:val="105"/>
        </w:rPr>
        <w:t> </w:t>
      </w:r>
      <w:r>
        <w:rPr>
          <w:w w:val="105"/>
        </w:rPr>
        <w:t>výpočtu</w:t>
      </w:r>
      <w:r>
        <w:rPr>
          <w:spacing w:val="-10"/>
          <w:w w:val="105"/>
        </w:rPr>
        <w:t> </w:t>
      </w:r>
      <w:r>
        <w:rPr>
          <w:w w:val="105"/>
        </w:rPr>
        <w:t>ročního</w:t>
      </w:r>
      <w:r>
        <w:rPr>
          <w:spacing w:val="-8"/>
          <w:w w:val="105"/>
        </w:rPr>
        <w:t> </w:t>
      </w:r>
      <w:r>
        <w:rPr>
          <w:w w:val="105"/>
        </w:rPr>
        <w:t>servisního</w:t>
      </w:r>
      <w:r>
        <w:rPr>
          <w:spacing w:val="-9"/>
          <w:w w:val="105"/>
        </w:rPr>
        <w:t> </w:t>
      </w:r>
      <w:r>
        <w:rPr>
          <w:w w:val="105"/>
        </w:rPr>
        <w:t>poplatku</w:t>
      </w:r>
      <w:r>
        <w:rPr>
          <w:spacing w:val="-10"/>
          <w:w w:val="105"/>
        </w:rPr>
        <w:t> </w:t>
      </w:r>
      <w:r>
        <w:rPr>
          <w:w w:val="105"/>
        </w:rPr>
        <w:t>od</w:t>
      </w:r>
      <w:r>
        <w:rPr>
          <w:spacing w:val="-10"/>
          <w:w w:val="105"/>
        </w:rPr>
        <w:t> </w:t>
      </w:r>
      <w:r>
        <w:rPr>
          <w:w w:val="105"/>
        </w:rPr>
        <w:t>1.</w:t>
      </w:r>
      <w:r>
        <w:rPr>
          <w:spacing w:val="-10"/>
          <w:w w:val="105"/>
        </w:rPr>
        <w:t> </w:t>
      </w:r>
      <w:r>
        <w:rPr>
          <w:w w:val="105"/>
        </w:rPr>
        <w:t>7.</w:t>
      </w:r>
      <w:r>
        <w:rPr>
          <w:spacing w:val="-9"/>
          <w:w w:val="105"/>
        </w:rPr>
        <w:t> </w:t>
      </w:r>
      <w:r>
        <w:rPr>
          <w:w w:val="105"/>
        </w:rPr>
        <w:t>2021</w:t>
      </w:r>
      <w:r>
        <w:rPr>
          <w:spacing w:val="-8"/>
          <w:w w:val="105"/>
        </w:rPr>
        <w:t> </w:t>
      </w:r>
      <w:r>
        <w:rPr>
          <w:w w:val="105"/>
        </w:rPr>
        <w:t>dle</w:t>
      </w:r>
      <w:r>
        <w:rPr>
          <w:spacing w:val="-10"/>
          <w:w w:val="105"/>
        </w:rPr>
        <w:t> </w:t>
      </w:r>
      <w:r>
        <w:rPr>
          <w:w w:val="105"/>
        </w:rPr>
        <w:t>čl.</w:t>
      </w:r>
      <w:r>
        <w:rPr>
          <w:spacing w:val="-9"/>
          <w:w w:val="105"/>
        </w:rPr>
        <w:t> </w:t>
      </w:r>
      <w:r>
        <w:rPr>
          <w:w w:val="105"/>
        </w:rPr>
        <w:t>8,</w:t>
      </w:r>
      <w:r>
        <w:rPr>
          <w:spacing w:val="-9"/>
          <w:w w:val="105"/>
        </w:rPr>
        <w:t> </w:t>
      </w:r>
      <w:r>
        <w:rPr>
          <w:w w:val="105"/>
        </w:rPr>
        <w:t>bodu</w:t>
      </w:r>
    </w:p>
    <w:p>
      <w:pPr>
        <w:pStyle w:val="BodyText"/>
        <w:spacing w:before="1"/>
        <w:ind w:left="115"/>
        <w:jc w:val="both"/>
      </w:pPr>
      <w:r>
        <w:rPr>
          <w:w w:val="105"/>
        </w:rPr>
        <w:t>8.2.1 Smlouvy o dílo.</w:t>
      </w:r>
    </w:p>
    <w:p>
      <w:pPr>
        <w:pStyle w:val="BodyText"/>
        <w:spacing w:before="5"/>
        <w:rPr>
          <w:sz w:val="31"/>
        </w:rPr>
      </w:pPr>
    </w:p>
    <w:p>
      <w:pPr>
        <w:pStyle w:val="BodyText"/>
        <w:ind w:left="115" w:right="131"/>
        <w:jc w:val="both"/>
      </w:pPr>
      <w:r>
        <w:rPr>
          <w:w w:val="105"/>
        </w:rPr>
        <w:t>Smluvní strany na tomto místě potvrzují, že na základě tohoto dodatku je Objednatel oprávněn užívat licence v rozsahu uvedeném v tabulce dle tohoto článku, přičemž Zhotovitel potvrzuje, že cena</w:t>
      </w:r>
      <w:r>
        <w:rPr>
          <w:spacing w:val="-5"/>
          <w:w w:val="105"/>
        </w:rPr>
        <w:t> </w:t>
      </w:r>
      <w:r>
        <w:rPr>
          <w:w w:val="105"/>
        </w:rPr>
        <w:t>za</w:t>
      </w:r>
      <w:r>
        <w:rPr>
          <w:spacing w:val="-4"/>
          <w:w w:val="105"/>
        </w:rPr>
        <w:t> </w:t>
      </w:r>
      <w:r>
        <w:rPr>
          <w:w w:val="105"/>
        </w:rPr>
        <w:t>tyto</w:t>
      </w:r>
      <w:r>
        <w:rPr>
          <w:spacing w:val="-3"/>
          <w:w w:val="105"/>
        </w:rPr>
        <w:t> </w:t>
      </w:r>
      <w:r>
        <w:rPr>
          <w:w w:val="105"/>
        </w:rPr>
        <w:t>licence</w:t>
      </w:r>
      <w:r>
        <w:rPr>
          <w:spacing w:val="-5"/>
          <w:w w:val="105"/>
        </w:rPr>
        <w:t> </w:t>
      </w:r>
      <w:r>
        <w:rPr>
          <w:w w:val="105"/>
        </w:rPr>
        <w:t>mu</w:t>
      </w:r>
      <w:r>
        <w:rPr>
          <w:spacing w:val="-5"/>
          <w:w w:val="105"/>
        </w:rPr>
        <w:t> </w:t>
      </w:r>
      <w:r>
        <w:rPr>
          <w:w w:val="105"/>
        </w:rPr>
        <w:t>již</w:t>
      </w:r>
      <w:r>
        <w:rPr>
          <w:spacing w:val="-6"/>
          <w:w w:val="105"/>
        </w:rPr>
        <w:t> </w:t>
      </w:r>
      <w:r>
        <w:rPr>
          <w:w w:val="105"/>
        </w:rPr>
        <w:t>byla</w:t>
      </w:r>
      <w:r>
        <w:rPr>
          <w:spacing w:val="-4"/>
          <w:w w:val="105"/>
        </w:rPr>
        <w:t> </w:t>
      </w:r>
      <w:r>
        <w:rPr>
          <w:w w:val="105"/>
        </w:rPr>
        <w:t>ke</w:t>
      </w:r>
      <w:r>
        <w:rPr>
          <w:spacing w:val="-3"/>
          <w:w w:val="105"/>
        </w:rPr>
        <w:t> </w:t>
      </w:r>
      <w:r>
        <w:rPr>
          <w:w w:val="105"/>
        </w:rPr>
        <w:t>dni</w:t>
      </w:r>
      <w:r>
        <w:rPr>
          <w:spacing w:val="-4"/>
          <w:w w:val="105"/>
        </w:rPr>
        <w:t> </w:t>
      </w:r>
      <w:r>
        <w:rPr>
          <w:w w:val="105"/>
        </w:rPr>
        <w:t>podpisu</w:t>
      </w:r>
      <w:r>
        <w:rPr>
          <w:spacing w:val="-5"/>
          <w:w w:val="105"/>
        </w:rPr>
        <w:t> </w:t>
      </w:r>
      <w:r>
        <w:rPr>
          <w:w w:val="105"/>
        </w:rPr>
        <w:t>tohoto</w:t>
      </w:r>
      <w:r>
        <w:rPr>
          <w:spacing w:val="-3"/>
          <w:w w:val="105"/>
        </w:rPr>
        <w:t> </w:t>
      </w:r>
      <w:r>
        <w:rPr>
          <w:w w:val="105"/>
        </w:rPr>
        <w:t>dodatku,</w:t>
      </w:r>
      <w:r>
        <w:rPr>
          <w:spacing w:val="-3"/>
          <w:w w:val="105"/>
        </w:rPr>
        <w:t> </w:t>
      </w:r>
      <w:r>
        <w:rPr>
          <w:w w:val="105"/>
        </w:rPr>
        <w:t>na</w:t>
      </w:r>
      <w:r>
        <w:rPr>
          <w:spacing w:val="-4"/>
          <w:w w:val="105"/>
        </w:rPr>
        <w:t> </w:t>
      </w:r>
      <w:r>
        <w:rPr>
          <w:w w:val="105"/>
        </w:rPr>
        <w:t>základě</w:t>
      </w:r>
      <w:r>
        <w:rPr>
          <w:spacing w:val="-3"/>
          <w:w w:val="105"/>
        </w:rPr>
        <w:t> </w:t>
      </w:r>
      <w:r>
        <w:rPr>
          <w:w w:val="105"/>
        </w:rPr>
        <w:t>dřívějších</w:t>
      </w:r>
      <w:r>
        <w:rPr>
          <w:spacing w:val="-5"/>
          <w:w w:val="105"/>
        </w:rPr>
        <w:t> </w:t>
      </w:r>
      <w:r>
        <w:rPr>
          <w:w w:val="105"/>
        </w:rPr>
        <w:t>dodatků</w:t>
      </w:r>
      <w:r>
        <w:rPr>
          <w:spacing w:val="-5"/>
          <w:w w:val="105"/>
        </w:rPr>
        <w:t> </w:t>
      </w:r>
      <w:r>
        <w:rPr>
          <w:w w:val="105"/>
        </w:rPr>
        <w:t>č.</w:t>
      </w:r>
      <w:r>
        <w:rPr>
          <w:spacing w:val="-4"/>
          <w:w w:val="105"/>
        </w:rPr>
        <w:t> </w:t>
      </w:r>
      <w:r>
        <w:rPr>
          <w:w w:val="105"/>
        </w:rPr>
        <w:t>5 a č. 6 již zcela uhrazena a Objednatel proto není povinen za pořízení těchto licencí na základě tohoto dodatku již hradit</w:t>
      </w:r>
      <w:r>
        <w:rPr>
          <w:spacing w:val="3"/>
          <w:w w:val="105"/>
        </w:rPr>
        <w:t> </w:t>
      </w:r>
      <w:r>
        <w:rPr>
          <w:w w:val="105"/>
        </w:rPr>
        <w:t>ničeho.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211" w:right="229" w:firstLine="0"/>
        <w:jc w:val="center"/>
        <w:rPr>
          <w:rFonts w:ascii="Arial"/>
          <w:sz w:val="20"/>
        </w:rPr>
      </w:pPr>
      <w:r>
        <w:rPr>
          <w:rFonts w:ascii="Arial"/>
          <w:w w:val="105"/>
          <w:sz w:val="20"/>
        </w:rPr>
        <w:t>III.</w:t>
      </w:r>
    </w:p>
    <w:p>
      <w:pPr>
        <w:pStyle w:val="BodyText"/>
        <w:spacing w:before="1"/>
        <w:rPr>
          <w:rFonts w:ascii="Arial"/>
          <w:sz w:val="25"/>
        </w:rPr>
      </w:pPr>
    </w:p>
    <w:p>
      <w:pPr>
        <w:pStyle w:val="BodyText"/>
        <w:ind w:left="115"/>
        <w:jc w:val="both"/>
      </w:pPr>
      <w:r>
        <w:rPr>
          <w:w w:val="105"/>
        </w:rPr>
        <w:t>Dodatek č. 7 je vyhotoven ve dvou exemplářích, každá smluvní strana obdrží jeden exemplář.</w:t>
      </w:r>
    </w:p>
    <w:p>
      <w:pPr>
        <w:pStyle w:val="BodyText"/>
      </w:pPr>
    </w:p>
    <w:p>
      <w:pPr>
        <w:pStyle w:val="BodyText"/>
        <w:spacing w:before="1"/>
        <w:ind w:left="211" w:right="229"/>
        <w:jc w:val="center"/>
      </w:pPr>
      <w:r>
        <w:rPr>
          <w:w w:val="105"/>
        </w:rPr>
        <w:t>IV.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115" w:right="244" w:hanging="12"/>
        <w:jc w:val="both"/>
      </w:pPr>
      <w:r>
        <w:rPr>
          <w:w w:val="105"/>
        </w:rPr>
        <w:t>Tento dodatek č. 7 ke smlouvě nabývá platnosti dnem podpisu oběma stranami. Účinnosti nabývá dnem uveřejnění v Registru smluv, a to v souladu se zákonem o Registru smluv. Uveřejnění dodatku zajistí Objednatel a Zhotovitele o této skutečnosti neprodleně informuje.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2479" w:val="left" w:leader="none"/>
          <w:tab w:pos="5568" w:val="left" w:leader="none"/>
          <w:tab w:pos="8344" w:val="left" w:leader="none"/>
        </w:tabs>
        <w:spacing w:before="88"/>
        <w:ind w:left="115"/>
        <w:rPr>
          <w:rFonts w:ascii="Times New Roman"/>
        </w:rPr>
      </w:pPr>
      <w:r>
        <w:rPr/>
        <w:t>V</w:t>
      </w:r>
      <w:r>
        <w:rPr>
          <w:spacing w:val="-2"/>
        </w:rPr>
        <w:t> </w:t>
      </w:r>
      <w:r>
        <w:rPr/>
        <w:t>Praze</w:t>
      </w:r>
      <w:r>
        <w:rPr>
          <w:spacing w:val="1"/>
        </w:rPr>
        <w:t> </w:t>
      </w:r>
      <w:r>
        <w:rPr/>
        <w:t>dne</w:t>
      </w:r>
      <w:r>
        <w:rPr>
          <w:u w:val="single"/>
        </w:rPr>
        <w:t> </w:t>
        <w:tab/>
      </w:r>
      <w:r>
        <w:rPr/>
        <w:tab/>
        <w:t>V Klecanech</w:t>
      </w:r>
      <w:r>
        <w:rPr>
          <w:spacing w:val="-6"/>
        </w:rPr>
        <w:t> </w:t>
      </w:r>
      <w:r>
        <w:rPr/>
        <w:t>dne</w:t>
      </w:r>
      <w:r>
        <w:rPr>
          <w:rFonts w:ascii="Times New Roman"/>
          <w:spacing w:val="-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00" w:h="16840"/>
          <w:pgMar w:top="1420" w:bottom="280" w:left="1300" w:right="1280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spacing w:line="259" w:lineRule="auto" w:before="112"/>
        <w:ind w:left="2522" w:right="-9" w:firstLine="0"/>
        <w:jc w:val="left"/>
        <w:rPr>
          <w:rFonts w:ascii="Arial" w:hAnsi="Arial"/>
          <w:sz w:val="15"/>
        </w:rPr>
      </w:pPr>
      <w:r>
        <w:rPr/>
        <w:pict>
          <v:group style="position:absolute;margin-left:70.795006pt;margin-top:-3.11322pt;width:142.550pt;height:40.8pt;mso-position-horizontal-relative:page;mso-position-vertical-relative:paragraph;z-index:-251966464" coordorigin="1416,-62" coordsize="2851,816">
            <v:line style="position:absolute" from="1416,743" to="4267,743" stroked="true" strokeweight="1.001969pt" strokecolor="#000000">
              <v:stroke dashstyle="solid"/>
            </v:line>
            <v:shape style="position:absolute;left:3401;top:-63;width:755;height:749" coordorigin="3401,-62" coordsize="755,749" path="m3537,528l3472,571,3430,612,3408,648,3401,674,3401,687,3459,687,3463,685,3416,685,3423,657,3447,618,3487,573,3537,528xm3724,-62l3709,-52,3701,-29,3698,-3,3698,16,3698,33,3700,51,3702,71,3706,91,3709,111,3714,132,3718,153,3724,174,3715,208,3691,271,3655,354,3611,445,3561,534,3510,611,3460,665,3416,685,3463,685,3466,684,3506,650,3554,588,3611,498,3619,495,3611,495,3666,396,3702,319,3724,261,3738,216,3765,216,3748,171,3753,132,3738,132,3729,98,3723,66,3720,35,3719,8,3719,-4,3721,-24,3725,-44,3735,-58,3753,-58,3744,-61,3724,-62xm4148,494l4126,494,4118,501,4118,522,4126,530,4148,530,4152,526,4129,526,4122,520,4122,504,4129,498,4152,498,4148,494xm4152,498l4146,498,4151,504,4151,520,4146,526,4152,526,4156,522,4156,501,4152,498xm4142,500l4130,500,4130,522,4133,522,4133,514,4143,514,4143,513,4140,512,4145,511,4133,511,4133,505,4144,505,4144,503,4142,500xm4143,514l4138,514,4139,516,4140,518,4141,522,4145,522,4144,518,4144,515,4143,514xm4144,505l4139,505,4140,505,4140,510,4138,511,4145,511,4145,508,4144,505xm3765,216l3738,216,3779,299,3822,356,3862,392,3895,413,3826,427,3754,445,3682,468,3611,495,3619,495,3683,476,3762,457,3843,443,3924,432,3981,432,3969,427,4021,425,4140,425,4120,414,4091,408,3935,408,3917,398,3900,387,3883,375,3866,363,3828,324,3795,278,3769,226,3765,216xm3981,432l3924,432,3974,455,4024,472,4070,483,4108,487,4124,486,4136,483,4144,477,4145,475,4124,475,4094,471,4056,461,4014,446,3981,432xm4148,469l4143,472,4134,475,4145,475,4148,469xm4140,425l4021,425,4082,426,4131,437,4151,461,4153,455,4156,453,4156,448,4146,428,4140,425xm4027,402l4007,403,3984,404,3935,408,4091,408,4079,405,4027,402xm3761,1l3757,23,3752,53,3746,89,3738,132,3753,132,3754,127,3757,85,3759,43,3761,1xm3753,-58l3735,-58,3743,-52,3751,-44,3757,-31,3761,-13,3764,-42,3757,-56,3753,-58xe" filled="true" fillcolor="#ffd8d8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45703pt;margin-top:3.136189pt;width:116.4pt;height:22.2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w w:val="95"/>
                      <w:sz w:val="37"/>
                    </w:rPr>
                    <w:t>Ing.</w:t>
                  </w:r>
                  <w:r>
                    <w:rPr>
                      <w:rFonts w:ascii="Arial"/>
                      <w:spacing w:val="-43"/>
                      <w:w w:val="95"/>
                      <w:sz w:val="37"/>
                    </w:rPr>
                    <w:t> </w:t>
                  </w:r>
                  <w:r>
                    <w:rPr>
                      <w:rFonts w:ascii="Arial"/>
                      <w:w w:val="95"/>
                      <w:sz w:val="37"/>
                    </w:rPr>
                    <w:t>Petr</w:t>
                  </w:r>
                  <w:r>
                    <w:rPr>
                      <w:rFonts w:ascii="Arial"/>
                      <w:spacing w:val="-43"/>
                      <w:w w:val="95"/>
                      <w:sz w:val="37"/>
                    </w:rPr>
                    <w:t> </w:t>
                  </w:r>
                  <w:r>
                    <w:rPr>
                      <w:rFonts w:ascii="Arial"/>
                      <w:spacing w:val="-4"/>
                      <w:w w:val="95"/>
                      <w:sz w:val="37"/>
                    </w:rPr>
                    <w:t>Zaoral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sz w:val="15"/>
        </w:rPr>
        <w:t>Digitáln</w:t>
      </w:r>
      <w:r>
        <w:rPr>
          <w:sz w:val="15"/>
        </w:rPr>
        <w:t>ě </w:t>
      </w:r>
      <w:r>
        <w:rPr>
          <w:rFonts w:ascii="Arial" w:hAnsi="Arial"/>
          <w:sz w:val="15"/>
        </w:rPr>
        <w:t>podepsal Ing. Petr Zaoral </w:t>
      </w:r>
      <w:r>
        <w:rPr>
          <w:rFonts w:ascii="Arial" w:hAnsi="Arial"/>
          <w:w w:val="95"/>
          <w:sz w:val="15"/>
        </w:rPr>
        <w:t>Datum: 2021.07.15 09:23:06 +02'00'</w:t>
      </w:r>
    </w:p>
    <w:p>
      <w:pPr>
        <w:pStyle w:val="Heading1"/>
        <w:ind w:left="830"/>
      </w:pPr>
      <w:r>
        <w:rPr/>
        <w:br w:type="column"/>
      </w:r>
      <w:r>
        <w:rPr/>
        <w:t>Petr </w:t>
      </w:r>
      <w:r>
        <w:rPr>
          <w:w w:val="95"/>
        </w:rPr>
        <w:t>Winkler</w:t>
      </w:r>
    </w:p>
    <w:p>
      <w:pPr>
        <w:spacing w:line="259" w:lineRule="auto" w:before="127"/>
        <w:ind w:left="177" w:right="40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  <w:t>Digitally signed by Petr Winkler </w:t>
      </w:r>
      <w:r>
        <w:rPr>
          <w:rFonts w:ascii="Arial"/>
          <w:w w:val="95"/>
          <w:sz w:val="21"/>
        </w:rPr>
        <w:t>Date: 2021.07.27</w:t>
      </w:r>
    </w:p>
    <w:p>
      <w:pPr>
        <w:spacing w:after="0" w:line="259" w:lineRule="auto"/>
        <w:jc w:val="left"/>
        <w:rPr>
          <w:rFonts w:ascii="Arial"/>
          <w:sz w:val="21"/>
        </w:rPr>
        <w:sectPr>
          <w:type w:val="continuous"/>
          <w:pgSz w:w="11900" w:h="16840"/>
          <w:pgMar w:top="1380" w:bottom="280" w:left="1300" w:right="1280"/>
          <w:cols w:num="3" w:equalWidth="0">
            <w:col w:w="4834" w:space="40"/>
            <w:col w:w="2215" w:space="39"/>
            <w:col w:w="2192"/>
          </w:cols>
        </w:sectPr>
      </w:pPr>
    </w:p>
    <w:p>
      <w:pPr>
        <w:tabs>
          <w:tab w:pos="7306" w:val="left" w:leader="none"/>
        </w:tabs>
        <w:spacing w:line="22" w:lineRule="exact" w:before="0"/>
        <w:ind w:left="5667" w:right="0" w:firstLine="0"/>
        <w:jc w:val="left"/>
        <w:rPr>
          <w:rFonts w:ascii="Arial"/>
          <w:sz w:val="21"/>
        </w:rPr>
      </w:pPr>
      <w:r>
        <w:rPr/>
        <w:pict>
          <v:shape style="position:absolute;margin-left:402.806152pt;margin-top:-49.40353pt;width:52.35pt;height:52pt;mso-position-horizontal-relative:page;mso-position-vertical-relative:paragraph;z-index:-251964416" coordorigin="8056,-988" coordsize="1047,1040" path="m8245,-168l8154,-109,8096,-52,8065,-2,8056,34,8063,48,8069,51,8139,51,8142,49,8076,49,8086,10,8120,-45,8174,-107,8245,-168xm8504,-988l8483,-974,8472,-942,8468,-905,8468,-879,8468,-856,8470,-830,8474,-804,8478,-776,8483,-748,8490,-718,8496,-690,8504,-661,8497,-631,8479,-578,8450,-506,8413,-422,8370,-330,8322,-238,8271,-150,8219,-71,8168,-8,8120,34,8076,49,8142,49,8177,23,8226,-30,8283,-107,8347,-211,8357,-214,8347,-214,8410,-328,8455,-420,8487,-494,8509,-554,8523,-602,8560,-602,8537,-664,8544,-718,8523,-718,8511,-765,8502,-810,8498,-853,8496,-891,8497,-907,8499,-934,8506,-963,8519,-982,8545,-982,8531,-987,8504,-988xm9092,-216l9062,-216,9051,-206,9051,-177,9062,-166,9092,-166,9097,-172,9065,-172,9056,-180,9056,-203,9065,-211,9097,-211,9092,-216xm9097,-211l9089,-211,9096,-203,9096,-180,9089,-172,9097,-172,9103,-177,9103,-206,9097,-211xm9084,-208l9066,-208,9066,-177,9072,-177,9072,-189,9085,-189,9085,-190,9081,-191,9088,-193,9072,-193,9072,-202,9087,-202,9087,-204,9084,-208xm9085,-189l9078,-189,9080,-186,9081,-182,9082,-177,9088,-177,9087,-182,9087,-187,9085,-189xm9087,-202l9079,-202,9081,-200,9081,-194,9078,-193,9088,-193,9088,-197,9087,-202xm8560,-602l8523,-602,8569,-507,8616,-436,8663,-385,8706,-351,8741,-328,8665,-314,8586,-295,8506,-272,8425,-245,8347,-214,8357,-214,8412,-232,8483,-251,8556,-267,8631,-281,8707,-293,8781,-302,8861,-302,8844,-309,8916,-312,9081,-312,9053,-327,9014,-336,8797,-336,8772,-350,8748,-365,8724,-381,8701,-398,8648,-451,8603,-516,8566,-588,8560,-602xm8861,-302l8781,-302,8851,-270,8920,-246,8983,-231,9037,-226,9059,-227,9075,-232,9086,-240,9088,-243,9059,-243,9017,-248,8965,-261,8906,-282,8861,-302xm9092,-251l9085,-247,9073,-243,9088,-243,9092,-251xm9081,-312l8916,-312,9000,-310,9069,-296,9096,-262,9100,-270,9103,-273,9103,-280,9090,-308,9081,-312xm8925,-343l8896,-343,8865,-341,8797,-336,9014,-336,8997,-339,8925,-343xm8555,-901l8549,-869,8543,-829,8534,-779,8523,-718,8544,-718,8545,-725,8550,-784,8553,-842,8555,-901xm8545,-982l8519,-982,8530,-974,8541,-963,8550,-945,8555,-920,8559,-959,8550,-980,8545,-982xe" filled="true" fillcolor="#ffd8d8" stroked="false">
            <v:path arrowok="t"/>
            <v:fill type="solid"/>
            <w10:wrap type="none"/>
          </v:shape>
        </w:pict>
      </w:r>
      <w:r>
        <w:rPr>
          <w:rFonts w:ascii="Arial"/>
          <w:w w:val="78"/>
          <w:sz w:val="21"/>
          <w:u w:val="thick"/>
        </w:rPr>
        <w:t> </w:t>
      </w:r>
      <w:r>
        <w:rPr>
          <w:rFonts w:ascii="Arial"/>
          <w:sz w:val="21"/>
          <w:u w:val="thick"/>
        </w:rPr>
        <w:tab/>
        <w:t>15:25:48</w:t>
      </w:r>
      <w:r>
        <w:rPr>
          <w:rFonts w:ascii="Arial"/>
          <w:spacing w:val="-19"/>
          <w:sz w:val="21"/>
          <w:u w:val="thick"/>
        </w:rPr>
        <w:t> </w:t>
      </w:r>
      <w:r>
        <w:rPr>
          <w:rFonts w:ascii="Arial"/>
          <w:sz w:val="21"/>
          <w:u w:val="thick"/>
        </w:rPr>
        <w:t>+02'0</w:t>
      </w:r>
      <w:r>
        <w:rPr>
          <w:rFonts w:ascii="Arial"/>
          <w:sz w:val="21"/>
        </w:rPr>
        <w:t>0'</w:t>
      </w:r>
    </w:p>
    <w:p>
      <w:pPr>
        <w:pStyle w:val="Heading2"/>
        <w:tabs>
          <w:tab w:pos="5628" w:val="left" w:leader="none"/>
        </w:tabs>
        <w:spacing w:before="37"/>
      </w:pPr>
      <w:r>
        <w:rPr/>
        <w:t>MÚZO</w:t>
      </w:r>
      <w:r>
        <w:rPr>
          <w:spacing w:val="-2"/>
        </w:rPr>
        <w:t> </w:t>
      </w:r>
      <w:r>
        <w:rPr/>
        <w:t>Praha</w:t>
      </w:r>
      <w:r>
        <w:rPr>
          <w:spacing w:val="-1"/>
        </w:rPr>
        <w:t> </w:t>
      </w:r>
      <w:r>
        <w:rPr/>
        <w:t>s.r.o.</w:t>
      </w:r>
      <w:r>
        <w:rPr>
          <w:rFonts w:ascii="Times New Roman" w:hAnsi="Times New Roman"/>
          <w:b w:val="0"/>
        </w:rPr>
        <w:tab/>
      </w:r>
      <w:r>
        <w:rPr/>
        <w:t>Národní ústav duševního</w:t>
      </w:r>
      <w:r>
        <w:rPr>
          <w:spacing w:val="-7"/>
        </w:rPr>
        <w:t> </w:t>
      </w:r>
      <w:r>
        <w:rPr/>
        <w:t>zdraví</w:t>
      </w:r>
    </w:p>
    <w:p>
      <w:pPr>
        <w:tabs>
          <w:tab w:pos="5604" w:val="left" w:leader="none"/>
        </w:tabs>
        <w:spacing w:before="22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Ing. Petr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Zaoral,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jednatel</w:t>
      </w:r>
      <w:r>
        <w:rPr>
          <w:rFonts w:ascii="Times New Roman" w:hAnsi="Times New Roman"/>
          <w:sz w:val="22"/>
        </w:rPr>
        <w:tab/>
      </w:r>
      <w:r>
        <w:rPr>
          <w:i/>
          <w:sz w:val="22"/>
        </w:rPr>
        <w:t>PhDr. Petr Winkler, Ph.D.,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ředitel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380" w:bottom="280" w:left="1300" w:right="1280"/>
        </w:sectPr>
      </w:pPr>
    </w:p>
    <w:p>
      <w:pPr>
        <w:pStyle w:val="BodyText"/>
        <w:tabs>
          <w:tab w:pos="2479" w:val="left" w:leader="none"/>
        </w:tabs>
        <w:spacing w:before="88"/>
        <w:ind w:left="116"/>
        <w:rPr>
          <w:rFonts w:ascii="Times New Roman"/>
        </w:rPr>
      </w:pPr>
      <w:r>
        <w:rPr/>
        <w:t>V Praze</w:t>
      </w:r>
      <w:r>
        <w:rPr>
          <w:spacing w:val="-3"/>
        </w:rPr>
        <w:t> </w:t>
      </w:r>
      <w:r>
        <w:rPr/>
        <w:t>dne</w:t>
      </w:r>
      <w:r>
        <w:rPr>
          <w:rFonts w:ascii="Times New Roman"/>
          <w:spacing w:val="-5"/>
        </w:rPr>
        <w:t> </w:t>
      </w:r>
      <w:r>
        <w:rPr>
          <w:rFonts w:ascii="Times New Roman"/>
          <w:w w:val="100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Heading1"/>
        <w:spacing w:before="175"/>
        <w:ind w:right="383"/>
      </w:pPr>
      <w:r>
        <w:rPr/>
        <w:pict>
          <v:shape style="position:absolute;margin-left:163.078079pt;margin-top:11.478271pt;width:52pt;height:51.6pt;mso-position-horizontal-relative:page;mso-position-vertical-relative:paragraph;z-index:-251965440" coordorigin="3262,230" coordsize="1040,1032" path="m3449,1043l3358,1102,3301,1159,3270,1208,3262,1245,3268,1258,3274,1261,3344,1261,3347,1259,3282,1259,3291,1221,3325,1166,3379,1105,3449,1043xm3706,230l3685,243,3675,276,3671,312,3670,338,3671,361,3673,386,3676,413,3681,440,3686,468,3692,497,3699,526,3706,554,3700,584,3681,637,3653,708,3616,792,3573,883,3526,975,3475,1062,3424,1140,3373,1203,3325,1244,3282,1259,3347,1259,3382,1234,3431,1181,3487,1105,3550,1001,3560,998,3550,998,3613,885,3658,794,3690,720,3711,661,3725,613,3762,613,3739,551,3747,497,3725,497,3713,451,3705,406,3700,364,3699,326,3699,310,3701,283,3708,255,3721,236,3747,236,3733,231,3706,230xm4290,996l4261,996,4249,1006,4249,1035,4261,1046,4290,1046,4296,1040,4264,1040,4254,1032,4254,1010,4264,1001,4296,1001,4290,996xm4296,1001l4287,1001,4295,1010,4295,1032,4287,1040,4296,1040,4301,1035,4301,1006,4296,1001xm4282,1004l4265,1004,4265,1035,4270,1035,4270,1023,4284,1023,4283,1022,4280,1021,4286,1019,4270,1019,4270,1011,4285,1011,4285,1009,4282,1004xm4284,1023l4277,1023,4279,1027,4280,1030,4281,1035,4286,1035,4285,1030,4285,1025,4284,1023xm4285,1011l4278,1011,4280,1012,4280,1018,4277,1019,4286,1019,4286,1015,4285,1011xm3762,613l3725,613,3770,708,3818,778,3864,828,3907,862,3942,885,3866,899,3788,918,3708,940,3628,967,3550,998,3560,998,3615,980,3685,962,3758,945,3833,931,3908,920,3981,911,4061,911,4044,904,4115,900,4279,900,4252,886,4212,877,3997,877,3973,863,3948,848,3925,832,3902,816,3849,762,3804,698,3768,627,3762,613xm4061,911l3981,911,4051,943,4119,966,4182,981,4235,986,4257,985,4273,980,4285,973,4286,969,4257,969,4216,965,4164,951,4105,931,4061,911xm4290,962l4283,965,4271,969,4286,969,4290,962xm4279,900l4115,900,4199,903,4267,917,4295,950,4298,943,4301,940,4301,932,4288,905,4279,900xm4124,870l4096,871,4065,872,3997,877,4212,877,4196,874,4124,870xm3757,316l3751,348,3745,388,3736,437,3725,497,3747,497,3747,490,3752,432,3755,375,3757,316xm3747,236l3721,236,3732,243,3743,255,3752,272,3757,297,3761,258,3752,238,3747,236xe" filled="true" fillcolor="#ffd8d8" stroked="false">
            <v:path arrowok="t"/>
            <v:fill type="solid"/>
            <w10:wrap type="none"/>
          </v:shape>
        </w:pict>
      </w:r>
      <w:r>
        <w:rPr/>
        <w:t>Ing.</w:t>
      </w:r>
      <w:r>
        <w:rPr>
          <w:spacing w:val="-67"/>
        </w:rPr>
        <w:t> </w:t>
      </w:r>
      <w:r>
        <w:rPr>
          <w:spacing w:val="-3"/>
        </w:rPr>
        <w:t>Martin </w:t>
      </w:r>
      <w:r>
        <w:rPr/>
        <w:t>Novotný</w:t>
      </w:r>
    </w:p>
    <w:p>
      <w:pPr>
        <w:pStyle w:val="BodyText"/>
        <w:rPr>
          <w:rFonts w:ascii="Arial"/>
          <w:sz w:val="26"/>
        </w:rPr>
      </w:pPr>
      <w:r>
        <w:rPr/>
        <w:br w:type="column"/>
      </w:r>
      <w:r>
        <w:rPr>
          <w:rFonts w:ascii="Arial"/>
          <w:sz w:val="26"/>
        </w:rPr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21"/>
        </w:rPr>
      </w:pPr>
    </w:p>
    <w:p>
      <w:pPr>
        <w:spacing w:line="254" w:lineRule="auto" w:before="0"/>
        <w:ind w:left="4" w:right="4712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Digitáln</w:t>
      </w:r>
      <w:r>
        <w:rPr>
          <w:sz w:val="21"/>
        </w:rPr>
        <w:t>ě </w:t>
      </w:r>
      <w:r>
        <w:rPr>
          <w:rFonts w:ascii="Arial" w:hAnsi="Arial"/>
          <w:sz w:val="21"/>
        </w:rPr>
        <w:t>podepsal</w:t>
      </w:r>
      <w:r>
        <w:rPr>
          <w:rFonts w:ascii="Arial" w:hAnsi="Arial"/>
          <w:spacing w:val="-30"/>
          <w:sz w:val="21"/>
        </w:rPr>
        <w:t> </w:t>
      </w:r>
      <w:r>
        <w:rPr>
          <w:rFonts w:ascii="Arial" w:hAnsi="Arial"/>
          <w:spacing w:val="-5"/>
          <w:sz w:val="21"/>
        </w:rPr>
        <w:t>Ing. </w:t>
      </w:r>
      <w:r>
        <w:rPr>
          <w:rFonts w:ascii="Arial" w:hAnsi="Arial"/>
          <w:sz w:val="21"/>
        </w:rPr>
        <w:t>Martin Novotný Datum:</w:t>
      </w:r>
      <w:r>
        <w:rPr>
          <w:rFonts w:ascii="Arial" w:hAnsi="Arial"/>
          <w:spacing w:val="-23"/>
          <w:sz w:val="21"/>
        </w:rPr>
        <w:t> </w:t>
      </w:r>
      <w:r>
        <w:rPr>
          <w:rFonts w:ascii="Arial" w:hAnsi="Arial"/>
          <w:sz w:val="21"/>
        </w:rPr>
        <w:t>2021.07.15</w:t>
      </w:r>
    </w:p>
    <w:p>
      <w:pPr>
        <w:spacing w:after="0" w:line="254" w:lineRule="auto"/>
        <w:jc w:val="left"/>
        <w:rPr>
          <w:rFonts w:ascii="Arial" w:hAnsi="Arial"/>
          <w:sz w:val="21"/>
        </w:rPr>
        <w:sectPr>
          <w:type w:val="continuous"/>
          <w:pgSz w:w="11900" w:h="16840"/>
          <w:pgMar w:top="1380" w:bottom="280" w:left="1300" w:right="1280"/>
          <w:cols w:num="2" w:equalWidth="0">
            <w:col w:w="2480" w:space="40"/>
            <w:col w:w="6800"/>
          </w:cols>
        </w:sectPr>
      </w:pPr>
    </w:p>
    <w:p>
      <w:pPr>
        <w:tabs>
          <w:tab w:pos="2523" w:val="left" w:leader="none"/>
        </w:tabs>
        <w:spacing w:line="-24" w:lineRule="auto" w:before="0"/>
        <w:ind w:left="115" w:right="0" w:firstLine="0"/>
        <w:jc w:val="left"/>
        <w:rPr>
          <w:rFonts w:ascii="Arial"/>
          <w:sz w:val="21"/>
        </w:rPr>
      </w:pPr>
      <w:r>
        <w:rPr>
          <w:rFonts w:ascii="Arial"/>
          <w:w w:val="78"/>
          <w:sz w:val="21"/>
          <w:u w:val="thick"/>
        </w:rPr>
        <w:t> </w:t>
      </w:r>
      <w:r>
        <w:rPr>
          <w:rFonts w:ascii="Arial"/>
          <w:sz w:val="21"/>
          <w:u w:val="thick"/>
        </w:rPr>
        <w:tab/>
      </w:r>
      <w:r>
        <w:rPr>
          <w:rFonts w:ascii="Arial"/>
          <w:spacing w:val="-109"/>
          <w:w w:val="94"/>
          <w:sz w:val="21"/>
        </w:rPr>
        <w:t>1</w:t>
      </w:r>
      <w:r>
        <w:rPr>
          <w:b/>
          <w:spacing w:val="-2"/>
          <w:w w:val="100"/>
          <w:position w:val="-7"/>
          <w:sz w:val="22"/>
        </w:rPr>
        <w:t>_</w:t>
      </w:r>
      <w:r>
        <w:rPr>
          <w:rFonts w:ascii="Arial"/>
          <w:w w:val="91"/>
          <w:sz w:val="21"/>
        </w:rPr>
        <w:t>0:46:50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w w:val="97"/>
          <w:sz w:val="21"/>
        </w:rPr>
        <w:t>+02'00'</w:t>
      </w:r>
    </w:p>
    <w:p>
      <w:pPr>
        <w:pStyle w:val="Heading2"/>
        <w:spacing w:before="76"/>
      </w:pPr>
      <w:r>
        <w:rPr/>
        <w:t>MÚZO Praha s.r.o.</w:t>
      </w:r>
    </w:p>
    <w:p>
      <w:pPr>
        <w:spacing w:before="22"/>
        <w:ind w:left="116" w:right="0" w:firstLine="0"/>
        <w:jc w:val="left"/>
        <w:rPr>
          <w:i/>
          <w:sz w:val="22"/>
        </w:rPr>
      </w:pPr>
      <w:r>
        <w:rPr>
          <w:i/>
          <w:sz w:val="22"/>
        </w:rPr>
        <w:t>Ing. Martin Novotný, jednatel</w:t>
      </w:r>
    </w:p>
    <w:sectPr>
      <w:type w:val="continuous"/>
      <w:pgSz w:w="11900" w:h="16840"/>
      <w:pgMar w:top="138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8" w:line="520" w:lineRule="exact"/>
      <w:ind w:left="130"/>
      <w:outlineLvl w:val="1"/>
    </w:pPr>
    <w:rPr>
      <w:rFonts w:ascii="Arial" w:hAnsi="Arial" w:eastAsia="Arial" w:cs="Arial"/>
      <w:sz w:val="43"/>
      <w:szCs w:val="43"/>
    </w:rPr>
  </w:style>
  <w:style w:styleId="Heading2" w:type="paragraph">
    <w:name w:val="Heading 2"/>
    <w:basedOn w:val="Normal"/>
    <w:uiPriority w:val="1"/>
    <w:qFormat/>
    <w:pPr>
      <w:spacing w:before="33"/>
      <w:ind w:left="116"/>
      <w:outlineLvl w:val="2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60" w:lineRule="exact"/>
      <w:ind w:left="126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jana.polackova</dc:creator>
  <dc:title>Dodatek č.7 MÚZO</dc:title>
  <dcterms:created xsi:type="dcterms:W3CDTF">2021-08-05T09:25:25Z</dcterms:created>
  <dcterms:modified xsi:type="dcterms:W3CDTF">2021-08-05T09:25:25Z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2021-08-05T00:00:00Z</vt:filetime>
  </property>
</Properties>
</file>