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AD" w:rsidRDefault="005E788B">
      <w:pPr>
        <w:pStyle w:val="Nadpis2"/>
        <w:spacing w:before="74" w:line="251" w:lineRule="exact"/>
        <w:ind w:left="168" w:right="21"/>
        <w:jc w:val="center"/>
      </w:pPr>
      <w:r>
        <w:t>MÚZO Praha s.r.o.</w:t>
      </w:r>
    </w:p>
    <w:p w:rsidR="00C02BAD" w:rsidRDefault="005E788B">
      <w:pPr>
        <w:pStyle w:val="Zkladntext"/>
        <w:ind w:left="3893" w:right="3748" w:firstLine="4"/>
        <w:jc w:val="center"/>
      </w:pPr>
      <w:r>
        <w:t>IČO: 49622897 DIČ: CZ49622897</w:t>
      </w:r>
    </w:p>
    <w:p w:rsidR="00C02BAD" w:rsidRDefault="005E788B">
      <w:pPr>
        <w:pStyle w:val="Zkladntext"/>
        <w:spacing w:line="252" w:lineRule="exact"/>
        <w:ind w:left="168" w:right="21"/>
        <w:jc w:val="center"/>
      </w:pPr>
      <w:r>
        <w:t>se sídlem Politických vězňů 15, 110 00 Praha 1</w:t>
      </w:r>
    </w:p>
    <w:p w:rsidR="00C02BAD" w:rsidRDefault="005E788B">
      <w:pPr>
        <w:pStyle w:val="Zkladntext"/>
        <w:spacing w:line="252" w:lineRule="exact"/>
        <w:ind w:left="168" w:right="23"/>
        <w:jc w:val="center"/>
      </w:pPr>
      <w:r>
        <w:t>zastoupena Ing. Petrem Zaoralem a Ing. Martinem Novotným, jednateli s.r.o.</w:t>
      </w:r>
    </w:p>
    <w:p w:rsidR="00C02BAD" w:rsidRDefault="005E788B">
      <w:pPr>
        <w:pStyle w:val="Zkladntext"/>
        <w:ind w:left="168" w:right="21"/>
        <w:jc w:val="center"/>
      </w:pPr>
      <w:r>
        <w:t>společnost s ručením omezeným zapsaná v obchodním rejstříku vedeném Městským soudem v</w:t>
      </w:r>
      <w:r>
        <w:rPr>
          <w:spacing w:val="-28"/>
        </w:rPr>
        <w:t xml:space="preserve"> </w:t>
      </w:r>
      <w:r>
        <w:t>Praze oddíl C, vložka 24646</w:t>
      </w:r>
    </w:p>
    <w:p w:rsidR="00C02BAD" w:rsidRDefault="00C02BAD">
      <w:pPr>
        <w:pStyle w:val="Zkladntext"/>
      </w:pPr>
    </w:p>
    <w:p w:rsidR="00C02BAD" w:rsidRDefault="005E788B">
      <w:pPr>
        <w:ind w:left="137" w:right="134"/>
        <w:jc w:val="center"/>
      </w:pPr>
      <w:r>
        <w:t>(dále 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Zhotovitel</w:t>
      </w:r>
      <w:r>
        <w:t>“)</w:t>
      </w:r>
    </w:p>
    <w:p w:rsidR="00C02BAD" w:rsidRDefault="00C02BAD">
      <w:pPr>
        <w:pStyle w:val="Zkladntext"/>
        <w:rPr>
          <w:sz w:val="26"/>
        </w:rPr>
      </w:pPr>
    </w:p>
    <w:p w:rsidR="00C02BAD" w:rsidRDefault="00C02BAD">
      <w:pPr>
        <w:pStyle w:val="Zkladntext"/>
        <w:spacing w:before="4"/>
        <w:rPr>
          <w:sz w:val="27"/>
        </w:rPr>
      </w:pPr>
    </w:p>
    <w:p w:rsidR="00C02BAD" w:rsidRDefault="005E788B">
      <w:pPr>
        <w:pStyle w:val="Zkladntext"/>
        <w:ind w:left="1"/>
        <w:jc w:val="center"/>
      </w:pPr>
      <w:r>
        <w:t>a</w:t>
      </w:r>
    </w:p>
    <w:p w:rsidR="00C02BAD" w:rsidRDefault="00C02BAD">
      <w:pPr>
        <w:pStyle w:val="Zkladntext"/>
      </w:pPr>
    </w:p>
    <w:p w:rsidR="00C02BAD" w:rsidRDefault="00C02BAD">
      <w:pPr>
        <w:pStyle w:val="Zkladntext"/>
        <w:spacing w:before="2"/>
        <w:rPr>
          <w:sz w:val="31"/>
        </w:rPr>
      </w:pPr>
    </w:p>
    <w:p w:rsidR="00C02BAD" w:rsidRDefault="005E788B">
      <w:pPr>
        <w:ind w:left="1543" w:right="1396"/>
        <w:jc w:val="center"/>
      </w:pPr>
      <w:r>
        <w:rPr>
          <w:b/>
        </w:rPr>
        <w:t>NÁRODNÍ ÚSTAV DUŠEVNÍHO ZDRAVÍ</w:t>
      </w:r>
      <w:r>
        <w:t>, příspěvková organizace IČO: 000 23 752</w:t>
      </w:r>
    </w:p>
    <w:p w:rsidR="00C02BAD" w:rsidRDefault="005E788B">
      <w:pPr>
        <w:pStyle w:val="Zkladntext"/>
        <w:ind w:left="168" w:right="25"/>
        <w:jc w:val="center"/>
      </w:pPr>
      <w:r>
        <w:t>DIČ: CZ00023752</w:t>
      </w:r>
    </w:p>
    <w:p w:rsidR="00C02BAD" w:rsidRDefault="005E788B">
      <w:pPr>
        <w:pStyle w:val="Zkladntext"/>
        <w:spacing w:before="2"/>
        <w:ind w:left="2614" w:right="2465" w:firstLine="1"/>
        <w:jc w:val="center"/>
      </w:pPr>
      <w:r>
        <w:t>se sídlem Topolová 748, 250 67 Klecany zastoupena PhDr. Petrem Winklerem, ředitelem</w:t>
      </w:r>
    </w:p>
    <w:p w:rsidR="00C02BAD" w:rsidRDefault="005E788B">
      <w:pPr>
        <w:spacing w:before="71" w:line="708" w:lineRule="exact"/>
        <w:ind w:left="2995" w:right="2973" w:firstLine="585"/>
      </w:pPr>
      <w:r>
        <w:t>(dále jen „</w:t>
      </w:r>
      <w:r>
        <w:rPr>
          <w:b/>
        </w:rPr>
        <w:t>Objednatel</w:t>
      </w:r>
      <w:r>
        <w:t>“) (společně dále jen „</w:t>
      </w:r>
      <w:r>
        <w:rPr>
          <w:b/>
        </w:rPr>
        <w:t>smluvní strany</w:t>
      </w:r>
      <w:r>
        <w:t>“)</w:t>
      </w:r>
    </w:p>
    <w:p w:rsidR="00C02BAD" w:rsidRDefault="005E788B">
      <w:pPr>
        <w:pStyle w:val="Zkladntext"/>
        <w:spacing w:before="198"/>
        <w:ind w:left="136" w:right="134"/>
        <w:jc w:val="center"/>
      </w:pPr>
      <w:r>
        <w:t>tímto uzavírají</w:t>
      </w:r>
    </w:p>
    <w:p w:rsidR="00C02BAD" w:rsidRDefault="00C02BAD">
      <w:pPr>
        <w:pStyle w:val="Zkladntext"/>
      </w:pPr>
    </w:p>
    <w:p w:rsidR="00C02BAD" w:rsidRDefault="00C02BAD">
      <w:pPr>
        <w:pStyle w:val="Zkladntext"/>
        <w:spacing w:before="8"/>
        <w:rPr>
          <w:sz w:val="18"/>
        </w:rPr>
      </w:pPr>
    </w:p>
    <w:p w:rsidR="00C02BAD" w:rsidRDefault="005E788B">
      <w:pPr>
        <w:ind w:left="137" w:right="134"/>
        <w:jc w:val="center"/>
        <w:rPr>
          <w:b/>
          <w:sz w:val="36"/>
        </w:rPr>
      </w:pPr>
      <w:r>
        <w:rPr>
          <w:b/>
          <w:sz w:val="36"/>
        </w:rPr>
        <w:t>Dohodu o vypořádání bezdůvodného obohacení</w:t>
      </w:r>
    </w:p>
    <w:p w:rsidR="00C02BAD" w:rsidRDefault="005E788B">
      <w:pPr>
        <w:pStyle w:val="Zkladntext"/>
        <w:spacing w:before="305" w:line="259" w:lineRule="auto"/>
        <w:ind w:left="140" w:right="134"/>
        <w:jc w:val="center"/>
      </w:pPr>
      <w:r>
        <w:t>dle ust. § 1746 odst. 2 a násl. zák. č. 89/2012 Sb., občanského zákoníku, ve znění pozdějších předpisů (dále jen ,,</w:t>
      </w:r>
      <w:r>
        <w:rPr>
          <w:b/>
        </w:rPr>
        <w:t>dohoda</w:t>
      </w:r>
      <w:r>
        <w:t>“)</w:t>
      </w:r>
    </w:p>
    <w:p w:rsidR="00C02BAD" w:rsidRDefault="00C02BAD">
      <w:pPr>
        <w:pStyle w:val="Zkladntext"/>
        <w:rPr>
          <w:sz w:val="26"/>
        </w:rPr>
      </w:pPr>
    </w:p>
    <w:p w:rsidR="00C02BAD" w:rsidRDefault="00C02BAD">
      <w:pPr>
        <w:pStyle w:val="Zkladntext"/>
        <w:spacing w:before="5"/>
        <w:rPr>
          <w:sz w:val="21"/>
        </w:rPr>
      </w:pPr>
    </w:p>
    <w:p w:rsidR="00C02BAD" w:rsidRDefault="005E788B">
      <w:pPr>
        <w:pStyle w:val="Zkladntext"/>
        <w:ind w:left="135" w:right="134"/>
        <w:jc w:val="center"/>
      </w:pPr>
      <w:r>
        <w:t>Čl. I.</w:t>
      </w:r>
    </w:p>
    <w:p w:rsidR="00C02BAD" w:rsidRDefault="00C02BAD">
      <w:pPr>
        <w:pStyle w:val="Zkladntext"/>
        <w:spacing w:before="4"/>
        <w:rPr>
          <w:sz w:val="25"/>
        </w:rPr>
      </w:pPr>
    </w:p>
    <w:p w:rsidR="00C02BAD" w:rsidRDefault="005E788B">
      <w:pPr>
        <w:pStyle w:val="Odstavecseseznamem"/>
        <w:numPr>
          <w:ilvl w:val="0"/>
          <w:numId w:val="3"/>
        </w:numPr>
        <w:tabs>
          <w:tab w:val="left" w:pos="824"/>
        </w:tabs>
        <w:spacing w:before="1" w:line="276" w:lineRule="auto"/>
        <w:ind w:right="108"/>
        <w:jc w:val="both"/>
      </w:pPr>
      <w:r>
        <w:t>Smluvní strany uzavřeli dne 16. 4. 2013 smlouvu o dílo evidovanou u zhotovitele pod číslem jednacím 1277/13, jejímž předmětem byla dodávka a instalace programového vybavení Ekonomický</w:t>
      </w:r>
      <w:r>
        <w:rPr>
          <w:spacing w:val="-14"/>
        </w:rPr>
        <w:t xml:space="preserve"> </w:t>
      </w:r>
      <w:r>
        <w:t>Informační</w:t>
      </w:r>
      <w:r>
        <w:rPr>
          <w:spacing w:val="-15"/>
        </w:rPr>
        <w:t xml:space="preserve"> </w:t>
      </w:r>
      <w:r>
        <w:t>Systém</w:t>
      </w:r>
      <w:r>
        <w:rPr>
          <w:spacing w:val="-19"/>
        </w:rPr>
        <w:t xml:space="preserve"> </w:t>
      </w:r>
      <w:r>
        <w:t>JASU</w:t>
      </w:r>
      <w:r>
        <w:rPr>
          <w:vertAlign w:val="superscript"/>
        </w:rPr>
        <w:t>®</w:t>
      </w:r>
      <w:r>
        <w:rPr>
          <w:spacing w:val="-17"/>
        </w:rPr>
        <w:t xml:space="preserve"> </w:t>
      </w:r>
      <w:r>
        <w:t>CS</w:t>
      </w:r>
      <w:r>
        <w:rPr>
          <w:spacing w:val="-14"/>
        </w:rPr>
        <w:t xml:space="preserve"> </w:t>
      </w:r>
      <w:r>
        <w:t>verze</w:t>
      </w:r>
      <w:r>
        <w:rPr>
          <w:spacing w:val="-15"/>
        </w:rPr>
        <w:t xml:space="preserve"> </w:t>
      </w:r>
      <w:r>
        <w:t>ENTERPRISE</w:t>
      </w:r>
      <w:r>
        <w:rPr>
          <w:spacing w:val="-16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právem</w:t>
      </w:r>
      <w:r>
        <w:rPr>
          <w:spacing w:val="-19"/>
        </w:rPr>
        <w:t xml:space="preserve"> </w:t>
      </w:r>
      <w:r>
        <w:t>užívat toto programové vybavení (dále „</w:t>
      </w:r>
      <w:r>
        <w:rPr>
          <w:b/>
        </w:rPr>
        <w:t>EIS JASU</w:t>
      </w:r>
      <w:r>
        <w:rPr>
          <w:b/>
          <w:position w:val="8"/>
          <w:sz w:val="14"/>
        </w:rPr>
        <w:t xml:space="preserve">® </w:t>
      </w:r>
      <w:r>
        <w:rPr>
          <w:b/>
        </w:rPr>
        <w:t>CS</w:t>
      </w:r>
      <w:r>
        <w:t>“), záruční a servisní podpora systému EIS JASU</w:t>
      </w:r>
      <w:r>
        <w:rPr>
          <w:vertAlign w:val="superscript"/>
        </w:rPr>
        <w:t>®</w:t>
      </w:r>
      <w:r>
        <w:t xml:space="preserve"> CS a další rozvoj systému EIS JASU</w:t>
      </w:r>
      <w:r>
        <w:rPr>
          <w:vertAlign w:val="superscript"/>
        </w:rPr>
        <w:t>®</w:t>
      </w:r>
      <w:r>
        <w:t xml:space="preserve"> CS (dále jen „</w:t>
      </w:r>
      <w:r>
        <w:rPr>
          <w:b/>
        </w:rPr>
        <w:t>Smlouva o dílo</w:t>
      </w:r>
      <w:r>
        <w:t>“). Smlouva o dílo byla dále upravena následujícími dodatky:</w:t>
      </w:r>
    </w:p>
    <w:p w:rsidR="00C02BAD" w:rsidRDefault="005E788B">
      <w:pPr>
        <w:pStyle w:val="Odstavecseseznamem"/>
        <w:numPr>
          <w:ilvl w:val="1"/>
          <w:numId w:val="3"/>
        </w:numPr>
        <w:tabs>
          <w:tab w:val="left" w:pos="1183"/>
          <w:tab w:val="left" w:pos="1184"/>
        </w:tabs>
        <w:spacing w:before="154"/>
        <w:ind w:hanging="361"/>
        <w:jc w:val="left"/>
      </w:pPr>
      <w:r>
        <w:t>Dodatek č. 1 uzavřený dne 24. 6.</w:t>
      </w:r>
      <w:r>
        <w:rPr>
          <w:spacing w:val="-7"/>
        </w:rPr>
        <w:t xml:space="preserve"> </w:t>
      </w:r>
      <w:r>
        <w:t>2014,</w:t>
      </w:r>
    </w:p>
    <w:p w:rsidR="00C02BAD" w:rsidRDefault="005E788B">
      <w:pPr>
        <w:pStyle w:val="Odstavecseseznamem"/>
        <w:numPr>
          <w:ilvl w:val="1"/>
          <w:numId w:val="3"/>
        </w:numPr>
        <w:tabs>
          <w:tab w:val="left" w:pos="1183"/>
          <w:tab w:val="left" w:pos="1184"/>
        </w:tabs>
        <w:spacing w:before="38"/>
        <w:ind w:hanging="361"/>
        <w:jc w:val="left"/>
        <w:rPr>
          <w:color w:val="FF0000"/>
        </w:rPr>
      </w:pPr>
      <w:r>
        <w:t>Dodatek č. 2 uzavřený dne 2. 10.</w:t>
      </w:r>
      <w:r>
        <w:rPr>
          <w:spacing w:val="-7"/>
        </w:rPr>
        <w:t xml:space="preserve"> </w:t>
      </w:r>
      <w:r>
        <w:t>2015,</w:t>
      </w:r>
    </w:p>
    <w:p w:rsidR="00C02BAD" w:rsidRDefault="005E788B">
      <w:pPr>
        <w:pStyle w:val="Odstavecseseznamem"/>
        <w:numPr>
          <w:ilvl w:val="1"/>
          <w:numId w:val="3"/>
        </w:numPr>
        <w:tabs>
          <w:tab w:val="left" w:pos="1183"/>
          <w:tab w:val="left" w:pos="1184"/>
        </w:tabs>
        <w:spacing w:before="37"/>
        <w:ind w:hanging="361"/>
        <w:jc w:val="left"/>
      </w:pPr>
      <w:r>
        <w:t>Dodatek č. 3 uzavřený dne 4. 11.</w:t>
      </w:r>
      <w:r>
        <w:rPr>
          <w:spacing w:val="-7"/>
        </w:rPr>
        <w:t xml:space="preserve"> </w:t>
      </w:r>
      <w:r>
        <w:t>2015,</w:t>
      </w:r>
    </w:p>
    <w:p w:rsidR="00C02BAD" w:rsidRDefault="005E788B">
      <w:pPr>
        <w:pStyle w:val="Odstavecseseznamem"/>
        <w:numPr>
          <w:ilvl w:val="1"/>
          <w:numId w:val="3"/>
        </w:numPr>
        <w:tabs>
          <w:tab w:val="left" w:pos="1183"/>
          <w:tab w:val="left" w:pos="1184"/>
        </w:tabs>
        <w:spacing w:before="38"/>
        <w:ind w:hanging="361"/>
        <w:jc w:val="left"/>
      </w:pPr>
      <w:r>
        <w:t>Dodatek č. 4 uzavřený de 4. 8.</w:t>
      </w:r>
      <w:r>
        <w:rPr>
          <w:spacing w:val="-6"/>
        </w:rPr>
        <w:t xml:space="preserve"> </w:t>
      </w:r>
      <w:r>
        <w:t>2016,</w:t>
      </w:r>
    </w:p>
    <w:p w:rsidR="00C02BAD" w:rsidRDefault="005E788B">
      <w:pPr>
        <w:pStyle w:val="Odstavecseseznamem"/>
        <w:numPr>
          <w:ilvl w:val="1"/>
          <w:numId w:val="3"/>
        </w:numPr>
        <w:tabs>
          <w:tab w:val="left" w:pos="1183"/>
          <w:tab w:val="left" w:pos="1184"/>
        </w:tabs>
        <w:spacing w:before="39"/>
        <w:ind w:hanging="361"/>
        <w:jc w:val="left"/>
      </w:pPr>
      <w:r>
        <w:t>Dodatek č. 5 uzavřený dne 10. 4.</w:t>
      </w:r>
      <w:r>
        <w:rPr>
          <w:spacing w:val="-8"/>
        </w:rPr>
        <w:t xml:space="preserve"> </w:t>
      </w:r>
      <w:r>
        <w:t>2018,</w:t>
      </w:r>
    </w:p>
    <w:p w:rsidR="00C02BAD" w:rsidRDefault="005E788B">
      <w:pPr>
        <w:pStyle w:val="Odstavecseseznamem"/>
        <w:numPr>
          <w:ilvl w:val="1"/>
          <w:numId w:val="3"/>
        </w:numPr>
        <w:tabs>
          <w:tab w:val="left" w:pos="1183"/>
          <w:tab w:val="left" w:pos="1184"/>
        </w:tabs>
        <w:spacing w:before="38"/>
        <w:ind w:hanging="361"/>
        <w:jc w:val="left"/>
      </w:pPr>
      <w:r>
        <w:t>Dodatek č. 6 uzavřený dne 28. 11.</w:t>
      </w:r>
      <w:r>
        <w:rPr>
          <w:spacing w:val="-8"/>
        </w:rPr>
        <w:t xml:space="preserve"> </w:t>
      </w:r>
      <w:r>
        <w:t>2019.</w:t>
      </w:r>
    </w:p>
    <w:p w:rsidR="00C02BAD" w:rsidRDefault="00C02BAD">
      <w:pPr>
        <w:sectPr w:rsidR="00C02BAD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:rsidR="00C02BAD" w:rsidRDefault="005E788B">
      <w:pPr>
        <w:pStyle w:val="Odstavecseseznamem"/>
        <w:numPr>
          <w:ilvl w:val="0"/>
          <w:numId w:val="3"/>
        </w:numPr>
        <w:tabs>
          <w:tab w:val="left" w:pos="824"/>
        </w:tabs>
        <w:spacing w:before="70" w:line="276" w:lineRule="auto"/>
        <w:ind w:right="106"/>
        <w:jc w:val="both"/>
      </w:pPr>
      <w:r>
        <w:lastRenderedPageBreak/>
        <w:t>Smluvní strany měly v souladu s ust. § 2 odst. 1 písm. c) zákona č. 340/2015, o registru smluv, ve</w:t>
      </w:r>
      <w:r>
        <w:rPr>
          <w:spacing w:val="-7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</w:t>
      </w:r>
      <w:r>
        <w:rPr>
          <w:spacing w:val="-7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</w:t>
      </w:r>
      <w:r>
        <w:rPr>
          <w:b/>
        </w:rPr>
        <w:t>zákon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registru</w:t>
      </w:r>
      <w:r>
        <w:rPr>
          <w:b/>
          <w:spacing w:val="-6"/>
        </w:rPr>
        <w:t xml:space="preserve"> </w:t>
      </w:r>
      <w:r>
        <w:rPr>
          <w:b/>
        </w:rPr>
        <w:t>smluv</w:t>
      </w:r>
      <w:r>
        <w:t>“),</w:t>
      </w:r>
      <w:r>
        <w:rPr>
          <w:spacing w:val="-7"/>
        </w:rPr>
        <w:t xml:space="preserve"> </w:t>
      </w:r>
      <w:r>
        <w:t>povinnost</w:t>
      </w:r>
      <w:r>
        <w:rPr>
          <w:spacing w:val="-5"/>
        </w:rPr>
        <w:t xml:space="preserve"> </w:t>
      </w:r>
      <w:r>
        <w:t>uveřejnit</w:t>
      </w:r>
      <w:r>
        <w:rPr>
          <w:spacing w:val="-5"/>
        </w:rPr>
        <w:t xml:space="preserve"> </w:t>
      </w:r>
      <w:r>
        <w:t>dodatky č.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6,</w:t>
      </w:r>
      <w:r>
        <w:rPr>
          <w:spacing w:val="-8"/>
        </w:rPr>
        <w:t xml:space="preserve"> </w:t>
      </w:r>
      <w:r>
        <w:t>uzavřené</w:t>
      </w:r>
      <w:r>
        <w:rPr>
          <w:spacing w:val="-5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dílo,</w:t>
      </w:r>
      <w:r>
        <w:rPr>
          <w:spacing w:val="-8"/>
        </w:rPr>
        <w:t xml:space="preserve"> </w:t>
      </w:r>
      <w:r>
        <w:t>způsobem</w:t>
      </w:r>
      <w:r>
        <w:rPr>
          <w:spacing w:val="-10"/>
        </w:rPr>
        <w:t xml:space="preserve"> </w:t>
      </w:r>
      <w:r>
        <w:t>uvedeným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smluv, kdy následkem uveřejnění nabyde smlouva, na níž se vztahuje povinnost uveřejnění prostřednictvím registru smluv, účinnosti. S ohledem na to, že smluvní strany povinnost jim uloženou zákonem o registru smluv nesplnily včas a příslušné dodatky č. 5 a č. 6 Smlouvy o dílo v zákonem stanovené lhůtě a formátu neuveřejnily, nenabyly tyto dodatky účinnosti. Předmětem dodatků č. 5 a č. 6 Smlouvy o dílo bylo rozšíření počtu uživatelů programového vybavení EIS JASU</w:t>
      </w:r>
      <w:r>
        <w:rPr>
          <w:vertAlign w:val="superscript"/>
        </w:rPr>
        <w:t>®</w:t>
      </w:r>
      <w:r>
        <w:t xml:space="preserve"> CS u Objednatele a související navýšení</w:t>
      </w:r>
      <w:r>
        <w:rPr>
          <w:spacing w:val="-7"/>
        </w:rPr>
        <w:t xml:space="preserve"> </w:t>
      </w:r>
      <w:r>
        <w:t>ceny.</w:t>
      </w:r>
    </w:p>
    <w:p w:rsidR="00C02BAD" w:rsidRDefault="005E788B">
      <w:pPr>
        <w:pStyle w:val="Odstavecseseznamem"/>
        <w:numPr>
          <w:ilvl w:val="0"/>
          <w:numId w:val="3"/>
        </w:numPr>
        <w:tabs>
          <w:tab w:val="left" w:pos="824"/>
        </w:tabs>
        <w:spacing w:line="276" w:lineRule="auto"/>
        <w:ind w:right="110"/>
        <w:jc w:val="both"/>
      </w:pPr>
      <w:r>
        <w:t>Smluvní strany konstatují, že s ohledem na výše uvedené bylo mezi smluvními stranami navzájem</w:t>
      </w:r>
      <w:r>
        <w:rPr>
          <w:spacing w:val="-17"/>
        </w:rPr>
        <w:t xml:space="preserve"> </w:t>
      </w:r>
      <w:r>
        <w:t>poskytnuto</w:t>
      </w:r>
      <w:r>
        <w:rPr>
          <w:spacing w:val="-13"/>
        </w:rPr>
        <w:t xml:space="preserve"> </w:t>
      </w:r>
      <w:r>
        <w:t>plnění,</w:t>
      </w:r>
      <w:r>
        <w:rPr>
          <w:spacing w:val="-12"/>
        </w:rPr>
        <w:t xml:space="preserve"> </w:t>
      </w:r>
      <w:r>
        <w:t>přestože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době</w:t>
      </w:r>
      <w:r>
        <w:rPr>
          <w:spacing w:val="-12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nebyly</w:t>
      </w:r>
      <w:r>
        <w:rPr>
          <w:spacing w:val="-16"/>
        </w:rPr>
        <w:t xml:space="preserve"> </w:t>
      </w:r>
      <w:r>
        <w:t>dodatky</w:t>
      </w:r>
      <w:r>
        <w:rPr>
          <w:spacing w:val="-15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Smlouvy o dílo uveřejněny v souladu se zákonem o registru smluv a nenabyly účinnosti, a tudíž má poskytnuté plnění na základě předmětných dodatků č. 5 a 6 povahu bezdůvodného obohacení strany přijímající takové plnění. Za účelem vypořádání takto vzniklého bezdůvodného obohacení uzavírají smluvní strany tuto</w:t>
      </w:r>
      <w:r>
        <w:rPr>
          <w:spacing w:val="-4"/>
        </w:rPr>
        <w:t xml:space="preserve"> </w:t>
      </w:r>
      <w:r>
        <w:t>dohodu.</w:t>
      </w:r>
    </w:p>
    <w:p w:rsidR="00C02BAD" w:rsidRDefault="005E788B">
      <w:pPr>
        <w:pStyle w:val="Odstavecseseznamem"/>
        <w:numPr>
          <w:ilvl w:val="0"/>
          <w:numId w:val="3"/>
        </w:numPr>
        <w:tabs>
          <w:tab w:val="left" w:pos="824"/>
        </w:tabs>
        <w:spacing w:line="276" w:lineRule="auto"/>
        <w:ind w:right="107"/>
        <w:jc w:val="both"/>
      </w:pPr>
      <w:r>
        <w:t>Smluvní strany současně konstatují, že žádná práva ani povinnosti mezi nimi nejsou sporná, když strany vždy měly a i do budoucna mají v úmyslu vykonávat tato práva a povinnosti zcela v souladu se Smlouvou o dílo uzavřenou dne 16. 4. 2013 a jejími pozdějšími dodatky č. 1 – č. 6.</w:t>
      </w:r>
    </w:p>
    <w:p w:rsidR="00C02BAD" w:rsidRDefault="00C02BAD">
      <w:pPr>
        <w:pStyle w:val="Zkladntext"/>
      </w:pPr>
    </w:p>
    <w:p w:rsidR="00C02BAD" w:rsidRDefault="00C02BAD">
      <w:pPr>
        <w:pStyle w:val="Zkladntext"/>
        <w:spacing w:before="3"/>
        <w:rPr>
          <w:sz w:val="17"/>
        </w:rPr>
      </w:pPr>
    </w:p>
    <w:p w:rsidR="00C02BAD" w:rsidRDefault="005E788B">
      <w:pPr>
        <w:pStyle w:val="Zkladntext"/>
        <w:ind w:left="135" w:right="134"/>
        <w:jc w:val="center"/>
      </w:pPr>
      <w:r>
        <w:t>Čl. II.</w:t>
      </w:r>
    </w:p>
    <w:p w:rsidR="00C02BAD" w:rsidRDefault="00C02BAD">
      <w:pPr>
        <w:pStyle w:val="Zkladntext"/>
        <w:spacing w:before="6"/>
        <w:rPr>
          <w:sz w:val="28"/>
        </w:rPr>
      </w:pPr>
    </w:p>
    <w:p w:rsidR="00C02BAD" w:rsidRDefault="005E788B">
      <w:pPr>
        <w:pStyle w:val="Odstavecseseznamem"/>
        <w:numPr>
          <w:ilvl w:val="0"/>
          <w:numId w:val="2"/>
        </w:numPr>
        <w:tabs>
          <w:tab w:val="left" w:pos="836"/>
        </w:tabs>
        <w:spacing w:before="0" w:line="276" w:lineRule="auto"/>
        <w:ind w:right="110"/>
        <w:jc w:val="both"/>
      </w:pPr>
      <w:r>
        <w:t>Za</w:t>
      </w:r>
      <w:r>
        <w:rPr>
          <w:spacing w:val="-7"/>
        </w:rPr>
        <w:t xml:space="preserve"> </w:t>
      </w:r>
      <w:r>
        <w:t>účelem</w:t>
      </w:r>
      <w:r>
        <w:rPr>
          <w:spacing w:val="-11"/>
        </w:rPr>
        <w:t xml:space="preserve"> </w:t>
      </w:r>
      <w:r>
        <w:t>vypořádání</w:t>
      </w:r>
      <w:r>
        <w:rPr>
          <w:spacing w:val="-6"/>
        </w:rPr>
        <w:t xml:space="preserve"> </w:t>
      </w:r>
      <w:r>
        <w:t>bezdůvodného</w:t>
      </w:r>
      <w:r>
        <w:rPr>
          <w:spacing w:val="-7"/>
        </w:rPr>
        <w:t xml:space="preserve"> </w:t>
      </w:r>
      <w:r>
        <w:t>obohacení</w:t>
      </w:r>
      <w:r>
        <w:rPr>
          <w:spacing w:val="-5"/>
        </w:rPr>
        <w:t xml:space="preserve"> </w:t>
      </w:r>
      <w:r>
        <w:t>vzniklého</w:t>
      </w:r>
      <w:r>
        <w:rPr>
          <w:spacing w:val="-7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smluvními</w:t>
      </w:r>
      <w:r>
        <w:rPr>
          <w:spacing w:val="-6"/>
        </w:rPr>
        <w:t xml:space="preserve"> </w:t>
      </w:r>
      <w:r>
        <w:t>stranami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dodatků č. 5 a 6 Smlouvy o dílo konstatují obě smluvní strany a souhlasí s</w:t>
      </w:r>
      <w:r>
        <w:rPr>
          <w:spacing w:val="-12"/>
        </w:rPr>
        <w:t xml:space="preserve"> </w:t>
      </w:r>
      <w:r>
        <w:t>následujícím:</w:t>
      </w:r>
    </w:p>
    <w:p w:rsidR="00C02BAD" w:rsidRDefault="005E788B">
      <w:pPr>
        <w:pStyle w:val="Odstavecseseznamem"/>
        <w:numPr>
          <w:ilvl w:val="1"/>
          <w:numId w:val="2"/>
        </w:numPr>
        <w:tabs>
          <w:tab w:val="left" w:pos="1556"/>
        </w:tabs>
        <w:spacing w:line="276" w:lineRule="auto"/>
        <w:ind w:right="107"/>
        <w:jc w:val="both"/>
      </w:pPr>
      <w:r>
        <w:t>Zhotovitel poskytl Objednateli Licence pro jednotlivé moduly EIS JASU CS a rozšířil počet uživatelů dle Dodatku č. 5 ze dne 10. 4. 2018 a dále dle dodatku č. 6 ze dne 28. 11. 2019.</w:t>
      </w:r>
    </w:p>
    <w:p w:rsidR="00C02BAD" w:rsidRDefault="005E788B">
      <w:pPr>
        <w:pStyle w:val="Odstavecseseznamem"/>
        <w:numPr>
          <w:ilvl w:val="1"/>
          <w:numId w:val="2"/>
        </w:numPr>
        <w:tabs>
          <w:tab w:val="left" w:pos="1556"/>
        </w:tabs>
        <w:spacing w:before="162" w:line="276" w:lineRule="auto"/>
        <w:ind w:right="108"/>
        <w:jc w:val="both"/>
      </w:pPr>
      <w:r>
        <w:t>Objednatel uhradil na základě faktury č. 11800242 dne 26. 4. 2018 rozdíl v ceně za poskytnutí práva užívat programové vybavení proti Smlouvě o dílo a dodatku č. 1 - 4, tj. 9 744 Kč bez DPH, 11 790 Kč včetně DPH a následně dne 23. 12. 2019 na základě faktury č. 11900616 rozdíl v ceně za poskytnutí práva užívat programové vybavení proti Smlouvě o dílo a dodatku č. 1 – 5, tj. 24 360,- Kč bez DPH, 29 475,60 včetně DPH.</w:t>
      </w:r>
    </w:p>
    <w:p w:rsidR="00C02BAD" w:rsidRDefault="005E788B">
      <w:pPr>
        <w:pStyle w:val="Odstavecseseznamem"/>
        <w:numPr>
          <w:ilvl w:val="1"/>
          <w:numId w:val="2"/>
        </w:numPr>
        <w:tabs>
          <w:tab w:val="left" w:pos="1556"/>
        </w:tabs>
        <w:spacing w:line="276" w:lineRule="auto"/>
        <w:ind w:right="107"/>
        <w:jc w:val="both"/>
      </w:pPr>
      <w:r>
        <w:t xml:space="preserve">Objednatel uhradil dále Zhotoviteli za odpovídající časové období navýšený roční servisní poplatek, který je stanoven procentním podílem z celkové ceny poskytnutých licencí dle čl. 8. bodu 8.2.1 a 8.2.2 Smlouvy o dílo. Objednatel uhradil po datu 10. 4. 2018, tj. po datu uzavření dodatku č. 5, ke dni uzavření této dohody roční servisní poplatky v celkové částce </w:t>
      </w:r>
      <w:bookmarkStart w:id="0" w:name="_GoBack"/>
      <w:r>
        <w:t xml:space="preserve">144 856,05 </w:t>
      </w:r>
      <w:bookmarkEnd w:id="0"/>
      <w:r>
        <w:t>Kč bez DPH, 175 275,81 Kč včetně DPH, což představuje o 12 278,84 Kč bez DPH, 14 857,40 Kč včetně DPH více oproti Smlouvě o dílo upravené dodatkem č. 1 –</w:t>
      </w:r>
      <w:r>
        <w:rPr>
          <w:spacing w:val="-5"/>
        </w:rPr>
        <w:t xml:space="preserve"> </w:t>
      </w:r>
      <w:r>
        <w:t>4.</w:t>
      </w:r>
    </w:p>
    <w:p w:rsidR="00C02BAD" w:rsidRDefault="00C02BAD">
      <w:pPr>
        <w:spacing w:line="276" w:lineRule="auto"/>
        <w:jc w:val="both"/>
        <w:sectPr w:rsidR="00C02BAD">
          <w:pgSz w:w="11900" w:h="16840"/>
          <w:pgMar w:top="1340" w:right="1300" w:bottom="280" w:left="1300" w:header="708" w:footer="708" w:gutter="0"/>
          <w:cols w:space="708"/>
        </w:sectPr>
      </w:pPr>
    </w:p>
    <w:p w:rsidR="00C02BAD" w:rsidRDefault="005E788B">
      <w:pPr>
        <w:pStyle w:val="Odstavecseseznamem"/>
        <w:numPr>
          <w:ilvl w:val="1"/>
          <w:numId w:val="2"/>
        </w:numPr>
        <w:tabs>
          <w:tab w:val="left" w:pos="1556"/>
        </w:tabs>
        <w:spacing w:before="70" w:line="276" w:lineRule="auto"/>
        <w:ind w:right="107"/>
        <w:jc w:val="both"/>
      </w:pPr>
      <w:r>
        <w:lastRenderedPageBreak/>
        <w:t>Smluvní strany s ohledem na body a), b) a bod c) tohoto odstavce konstatují, že přijetí rozšířeného práva užívat programové vybavení EIS JASU CS (rozšíření počtu uživatelů), tak přijetí plateb Zhotovitelem dle bodu b) a c), představují vzájemně bezdůvodné</w:t>
      </w:r>
      <w:r>
        <w:rPr>
          <w:spacing w:val="-6"/>
        </w:rPr>
        <w:t xml:space="preserve"> </w:t>
      </w:r>
      <w:r>
        <w:t>obohacení</w:t>
      </w:r>
      <w:r>
        <w:rPr>
          <w:spacing w:val="-6"/>
        </w:rPr>
        <w:t xml:space="preserve"> </w:t>
      </w:r>
      <w:r>
        <w:t>s ohledem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dodatky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nenabyly účinnosti.</w:t>
      </w:r>
    </w:p>
    <w:p w:rsidR="00C02BAD" w:rsidRDefault="005E788B">
      <w:pPr>
        <w:pStyle w:val="Odstavecseseznamem"/>
        <w:numPr>
          <w:ilvl w:val="0"/>
          <w:numId w:val="2"/>
        </w:numPr>
        <w:tabs>
          <w:tab w:val="left" w:pos="829"/>
        </w:tabs>
        <w:spacing w:line="276" w:lineRule="auto"/>
        <w:ind w:left="828" w:right="108" w:hanging="356"/>
        <w:jc w:val="both"/>
      </w:pPr>
      <w:r>
        <w:t>Smluvní strany se  za  účelem  vypořádání  bezdůvodného  obohacení  vzniklého  mezi  nimi  v</w:t>
      </w:r>
      <w:r>
        <w:rPr>
          <w:spacing w:val="-4"/>
        </w:rPr>
        <w:t xml:space="preserve"> </w:t>
      </w:r>
      <w:r>
        <w:t>důsledku</w:t>
      </w:r>
      <w:r>
        <w:rPr>
          <w:spacing w:val="-5"/>
        </w:rPr>
        <w:t xml:space="preserve"> </w:t>
      </w:r>
      <w:r>
        <w:t>řádného</w:t>
      </w:r>
      <w:r>
        <w:rPr>
          <w:spacing w:val="-6"/>
        </w:rPr>
        <w:t xml:space="preserve"> </w:t>
      </w:r>
      <w:r>
        <w:t>neuveřejnění</w:t>
      </w:r>
      <w:r>
        <w:rPr>
          <w:spacing w:val="-4"/>
        </w:rPr>
        <w:t xml:space="preserve"> </w:t>
      </w:r>
      <w:r>
        <w:t>dodatků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dohodly</w:t>
      </w:r>
      <w:r>
        <w:rPr>
          <w:spacing w:val="-8"/>
        </w:rPr>
        <w:t xml:space="preserve"> </w:t>
      </w:r>
      <w:r>
        <w:t>tak, že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již</w:t>
      </w:r>
      <w:r>
        <w:rPr>
          <w:spacing w:val="-7"/>
        </w:rPr>
        <w:t xml:space="preserve"> </w:t>
      </w:r>
      <w:r>
        <w:t>vzájemně</w:t>
      </w:r>
      <w:r>
        <w:rPr>
          <w:spacing w:val="-5"/>
        </w:rPr>
        <w:t xml:space="preserve"> </w:t>
      </w:r>
      <w:r>
        <w:t>poskytnutá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dodatků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ponechají, a tímto si vzájemně vypořádají své nároky na vydání bezdůvodného</w:t>
      </w:r>
      <w:r>
        <w:rPr>
          <w:spacing w:val="-5"/>
        </w:rPr>
        <w:t xml:space="preserve"> </w:t>
      </w:r>
      <w:r>
        <w:t>obohacení.</w:t>
      </w:r>
    </w:p>
    <w:p w:rsidR="00C02BAD" w:rsidRDefault="005E788B">
      <w:pPr>
        <w:pStyle w:val="Odstavecseseznamem"/>
        <w:numPr>
          <w:ilvl w:val="0"/>
          <w:numId w:val="2"/>
        </w:numPr>
        <w:tabs>
          <w:tab w:val="left" w:pos="829"/>
        </w:tabs>
        <w:spacing w:before="120" w:line="276" w:lineRule="auto"/>
        <w:ind w:left="828" w:right="108" w:hanging="356"/>
        <w:jc w:val="both"/>
      </w:pPr>
      <w:r>
        <w:t>Obě smluvní strany dále konstatují, že všechna jejich dosavadní práva a povinnosti se v tomto směru řídí identicky dle Smlouvy o dílo, jak byla z jejich strany podepsána dne 16. 4. 2013 a upravena následujícími dodatky č. 1 – č. 6. Tato Smlouva o dílo a její dodatky č. 1 – č. 6 představují</w:t>
      </w:r>
      <w:r>
        <w:rPr>
          <w:spacing w:val="-3"/>
        </w:rPr>
        <w:t xml:space="preserve"> </w:t>
      </w:r>
      <w:r>
        <w:t>přílohu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tím,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zavazují řídit touto Smlouvou o dílo a jejími dodatky č. 1 – č. 6 ve vztahu k plnění, právům a povinnostem,</w:t>
      </w:r>
      <w:r>
        <w:rPr>
          <w:spacing w:val="-11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mezi</w:t>
      </w:r>
      <w:r>
        <w:rPr>
          <w:spacing w:val="-10"/>
        </w:rPr>
        <w:t xml:space="preserve"> </w:t>
      </w:r>
      <w:r>
        <w:t>nimi</w:t>
      </w:r>
      <w:r>
        <w:rPr>
          <w:spacing w:val="-10"/>
        </w:rPr>
        <w:t xml:space="preserve"> </w:t>
      </w:r>
      <w:r>
        <w:t>již</w:t>
      </w:r>
      <w:r>
        <w:rPr>
          <w:spacing w:val="-12"/>
        </w:rPr>
        <w:t xml:space="preserve"> </w:t>
      </w:r>
      <w:r>
        <w:t>bylo</w:t>
      </w:r>
      <w:r>
        <w:rPr>
          <w:spacing w:val="-11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jejích</w:t>
      </w:r>
      <w:r>
        <w:rPr>
          <w:spacing w:val="-11"/>
        </w:rPr>
        <w:t xml:space="preserve"> </w:t>
      </w:r>
      <w:r>
        <w:t>dodatků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poskytnuto. Pokud</w:t>
      </w:r>
      <w:r>
        <w:rPr>
          <w:spacing w:val="-4"/>
        </w:rPr>
        <w:t xml:space="preserve"> </w:t>
      </w:r>
      <w:r>
        <w:t>jde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plnění ve</w:t>
      </w:r>
      <w:r>
        <w:rPr>
          <w:spacing w:val="-1"/>
        </w:rPr>
        <w:t xml:space="preserve"> </w:t>
      </w:r>
      <w:r>
        <w:t>vztahu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právům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povinnostem,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ke dni</w:t>
      </w:r>
      <w:r>
        <w:rPr>
          <w:spacing w:val="-3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této dohody mají být dle Smlouvy o dílo a jejich dodatků č. 1 – č. 6 plněny, pak platí, že strany se budou řídit Smlouvou o dílo a jejími dodatky č. 1 – č. 4, jak jsou přiloženy k této dohodě, a dodatkem č. 7, který je uzavírán současně s touto</w:t>
      </w:r>
      <w:r>
        <w:rPr>
          <w:spacing w:val="-12"/>
        </w:rPr>
        <w:t xml:space="preserve"> </w:t>
      </w:r>
      <w:r>
        <w:t>dohodou.</w:t>
      </w:r>
    </w:p>
    <w:p w:rsidR="00C02BAD" w:rsidRDefault="00C02BAD">
      <w:pPr>
        <w:pStyle w:val="Zkladntext"/>
        <w:rPr>
          <w:sz w:val="24"/>
        </w:rPr>
      </w:pPr>
    </w:p>
    <w:p w:rsidR="00C02BAD" w:rsidRDefault="00C02BAD">
      <w:pPr>
        <w:pStyle w:val="Zkladntext"/>
        <w:rPr>
          <w:sz w:val="24"/>
        </w:rPr>
      </w:pPr>
    </w:p>
    <w:p w:rsidR="00C02BAD" w:rsidRDefault="005E788B">
      <w:pPr>
        <w:pStyle w:val="Zkladntext"/>
        <w:spacing w:before="151"/>
        <w:ind w:left="134" w:right="134"/>
        <w:jc w:val="center"/>
      </w:pPr>
      <w:r>
        <w:t>Čl. III.</w:t>
      </w:r>
    </w:p>
    <w:p w:rsidR="00C02BAD" w:rsidRDefault="00C02BAD">
      <w:pPr>
        <w:pStyle w:val="Zkladntext"/>
        <w:spacing w:before="6"/>
        <w:rPr>
          <w:sz w:val="28"/>
        </w:rPr>
      </w:pPr>
    </w:p>
    <w:p w:rsidR="00C02BAD" w:rsidRDefault="005E788B">
      <w:pPr>
        <w:pStyle w:val="Odstavecseseznamem"/>
        <w:numPr>
          <w:ilvl w:val="0"/>
          <w:numId w:val="1"/>
        </w:numPr>
        <w:tabs>
          <w:tab w:val="left" w:pos="836"/>
        </w:tabs>
        <w:spacing w:before="0" w:line="276" w:lineRule="auto"/>
        <w:ind w:right="108"/>
        <w:jc w:val="both"/>
      </w:pPr>
      <w:r>
        <w:t>Tato dohoda je vyhotovena ve dvou stejnopisech s platností originálu, přičemž Objednatel a Zhotovitel obdrží po jednom</w:t>
      </w:r>
      <w:r>
        <w:rPr>
          <w:spacing w:val="-6"/>
        </w:rPr>
        <w:t xml:space="preserve"> </w:t>
      </w:r>
      <w:r>
        <w:t>stejnopisu.</w:t>
      </w:r>
    </w:p>
    <w:p w:rsidR="00C02BAD" w:rsidRDefault="005E788B">
      <w:pPr>
        <w:pStyle w:val="Odstavecseseznamem"/>
        <w:numPr>
          <w:ilvl w:val="0"/>
          <w:numId w:val="1"/>
        </w:numPr>
        <w:tabs>
          <w:tab w:val="left" w:pos="836"/>
        </w:tabs>
        <w:spacing w:line="276" w:lineRule="auto"/>
        <w:ind w:right="107"/>
        <w:jc w:val="both"/>
      </w:pPr>
      <w:r>
        <w:t>Tato dohoda nabývá platnosti podpisem obou smluvních stran a účinnosti okamžikem jejího uveřejnění v registru smluv. Uveřejnění dohody zajistí Objednatel a Zhotovitele o této skutečnosti neprodleně</w:t>
      </w:r>
      <w:r>
        <w:rPr>
          <w:spacing w:val="-2"/>
        </w:rPr>
        <w:t xml:space="preserve"> </w:t>
      </w:r>
      <w:r>
        <w:t>informuje.</w:t>
      </w:r>
    </w:p>
    <w:p w:rsidR="00C02BAD" w:rsidRDefault="005E788B">
      <w:pPr>
        <w:pStyle w:val="Odstavecseseznamem"/>
        <w:numPr>
          <w:ilvl w:val="0"/>
          <w:numId w:val="1"/>
        </w:numPr>
        <w:tabs>
          <w:tab w:val="left" w:pos="837"/>
        </w:tabs>
        <w:spacing w:before="161" w:line="276" w:lineRule="auto"/>
        <w:ind w:left="836" w:right="111"/>
        <w:jc w:val="both"/>
      </w:pPr>
      <w:r>
        <w:t>Tato dohoda může být pozměněna pouze písemnými a číslovanými dodatky uzavřenými mezi oběma smluvními stranami této</w:t>
      </w:r>
      <w:r>
        <w:rPr>
          <w:spacing w:val="1"/>
        </w:rPr>
        <w:t xml:space="preserve"> </w:t>
      </w:r>
      <w:r>
        <w:t>dohody.</w:t>
      </w:r>
    </w:p>
    <w:p w:rsidR="00C02BAD" w:rsidRDefault="005E788B">
      <w:pPr>
        <w:pStyle w:val="Odstavecseseznamem"/>
        <w:numPr>
          <w:ilvl w:val="0"/>
          <w:numId w:val="1"/>
        </w:numPr>
        <w:tabs>
          <w:tab w:val="left" w:pos="837"/>
        </w:tabs>
        <w:spacing w:line="276" w:lineRule="auto"/>
        <w:ind w:left="836" w:right="108"/>
        <w:jc w:val="both"/>
      </w:pPr>
      <w:r>
        <w:t>Smluvní strany prohlašují, že si tuto dohodu řádně přečetly, že je uzavřena podle jejich pravé a svobodné vůle, určitě, vážně a srozumitelně, nikoli v tísni či za nápadně nevýhodných podmínek. Na důkaz toho smluvní strany připojují své</w:t>
      </w:r>
      <w:r>
        <w:rPr>
          <w:spacing w:val="-7"/>
        </w:rPr>
        <w:t xml:space="preserve"> </w:t>
      </w:r>
      <w:r>
        <w:t>podpisy.</w:t>
      </w:r>
    </w:p>
    <w:p w:rsidR="00C02BAD" w:rsidRDefault="005E788B">
      <w:pPr>
        <w:pStyle w:val="Zkladntext"/>
        <w:spacing w:before="162"/>
        <w:ind w:left="116"/>
      </w:pPr>
      <w:r>
        <w:t>Příloha č. 1 – Smlouva o dílo evidovaná u Zhotovitele pod číslem jednacím 1277/13 a její dodatky č. 1</w:t>
      </w:r>
    </w:p>
    <w:p w:rsidR="00C02BAD" w:rsidRDefault="005E788B">
      <w:pPr>
        <w:pStyle w:val="Zkladntext"/>
        <w:spacing w:before="20"/>
        <w:ind w:left="116"/>
      </w:pPr>
      <w:r>
        <w:t>– č. 6</w:t>
      </w:r>
    </w:p>
    <w:p w:rsidR="00C02BAD" w:rsidRDefault="00C02BAD">
      <w:pPr>
        <w:pStyle w:val="Zkladntext"/>
        <w:spacing w:before="9"/>
        <w:rPr>
          <w:sz w:val="19"/>
        </w:rPr>
      </w:pPr>
    </w:p>
    <w:p w:rsidR="00C02BAD" w:rsidRDefault="005E788B">
      <w:pPr>
        <w:pStyle w:val="Zkladntext"/>
        <w:tabs>
          <w:tab w:val="left" w:pos="3215"/>
          <w:tab w:val="left" w:pos="5604"/>
          <w:tab w:val="left" w:pos="8435"/>
        </w:tabs>
        <w:spacing w:before="62"/>
        <w:ind w:left="824"/>
      </w:pPr>
      <w:r>
        <w:t>V Praze 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 Klecanech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BAD" w:rsidRDefault="00C02BAD">
      <w:pPr>
        <w:pStyle w:val="Zkladntext"/>
        <w:rPr>
          <w:sz w:val="20"/>
        </w:rPr>
      </w:pPr>
    </w:p>
    <w:p w:rsidR="00C02BAD" w:rsidRDefault="00C02BAD">
      <w:pPr>
        <w:pStyle w:val="Zkladntext"/>
        <w:rPr>
          <w:sz w:val="20"/>
        </w:rPr>
      </w:pPr>
    </w:p>
    <w:p w:rsidR="00C02BAD" w:rsidRDefault="005E788B">
      <w:pPr>
        <w:pStyle w:val="Nadpis2"/>
        <w:tabs>
          <w:tab w:val="left" w:pos="5782"/>
        </w:tabs>
      </w:pPr>
      <w:r>
        <w:t>MÚZO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s.r.o.</w:t>
      </w:r>
      <w:r>
        <w:tab/>
        <w:t>Národní ústav duševního</w:t>
      </w:r>
      <w:r>
        <w:rPr>
          <w:spacing w:val="-1"/>
        </w:rPr>
        <w:t xml:space="preserve"> </w:t>
      </w:r>
      <w:r>
        <w:t>zdraví</w:t>
      </w:r>
    </w:p>
    <w:p w:rsidR="00C02BAD" w:rsidRDefault="005E788B" w:rsidP="005E788B">
      <w:pPr>
        <w:tabs>
          <w:tab w:val="left" w:pos="6101"/>
        </w:tabs>
        <w:spacing w:before="133"/>
        <w:ind w:left="824"/>
        <w:rPr>
          <w:i/>
        </w:rPr>
      </w:pPr>
      <w:r>
        <w:rPr>
          <w:i/>
        </w:rPr>
        <w:t>Ing. Petr</w:t>
      </w:r>
      <w:r>
        <w:rPr>
          <w:i/>
          <w:spacing w:val="-3"/>
        </w:rPr>
        <w:t xml:space="preserve"> </w:t>
      </w:r>
      <w:r>
        <w:rPr>
          <w:i/>
        </w:rPr>
        <w:t>Zaoral,</w:t>
      </w:r>
      <w:r>
        <w:rPr>
          <w:i/>
          <w:spacing w:val="-1"/>
        </w:rPr>
        <w:t xml:space="preserve"> </w:t>
      </w:r>
      <w:r>
        <w:rPr>
          <w:i/>
        </w:rPr>
        <w:t>jednatel</w:t>
      </w:r>
      <w:r>
        <w:rPr>
          <w:i/>
        </w:rPr>
        <w:tab/>
        <w:t>PhDr. Petr Winkler, ředite</w:t>
      </w:r>
    </w:p>
    <w:sectPr w:rsidR="00C02BAD" w:rsidSect="005E788B"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D41"/>
    <w:multiLevelType w:val="hybridMultilevel"/>
    <w:tmpl w:val="13F64986"/>
    <w:lvl w:ilvl="0" w:tplc="F4DC663E">
      <w:start w:val="1"/>
      <w:numFmt w:val="decimal"/>
      <w:lvlText w:val="%1."/>
      <w:lvlJc w:val="left"/>
      <w:pPr>
        <w:ind w:left="823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481750">
      <w:numFmt w:val="bullet"/>
      <w:lvlText w:val="-"/>
      <w:lvlJc w:val="left"/>
      <w:pPr>
        <w:ind w:left="1183" w:hanging="360"/>
      </w:pPr>
      <w:rPr>
        <w:rFonts w:hint="default"/>
        <w:w w:val="100"/>
      </w:rPr>
    </w:lvl>
    <w:lvl w:ilvl="2" w:tplc="B3B80BC8"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735C01E6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3B5CAE06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B846DFCC"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111A61DE">
      <w:numFmt w:val="bullet"/>
      <w:lvlText w:val="•"/>
      <w:lvlJc w:val="left"/>
      <w:pPr>
        <w:ind w:left="5691" w:hanging="360"/>
      </w:pPr>
      <w:rPr>
        <w:rFonts w:hint="default"/>
      </w:rPr>
    </w:lvl>
    <w:lvl w:ilvl="7" w:tplc="1AAA69BA"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9DF8C51C">
      <w:numFmt w:val="bullet"/>
      <w:lvlText w:val="•"/>
      <w:lvlJc w:val="left"/>
      <w:pPr>
        <w:ind w:left="7495" w:hanging="360"/>
      </w:pPr>
      <w:rPr>
        <w:rFonts w:hint="default"/>
      </w:rPr>
    </w:lvl>
  </w:abstractNum>
  <w:abstractNum w:abstractNumId="1" w15:restartNumberingAfterBreak="0">
    <w:nsid w:val="11E37598"/>
    <w:multiLevelType w:val="hybridMultilevel"/>
    <w:tmpl w:val="42F403AA"/>
    <w:lvl w:ilvl="0" w:tplc="E42E54A4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6DA17CA">
      <w:numFmt w:val="bullet"/>
      <w:lvlText w:val="•"/>
      <w:lvlJc w:val="left"/>
      <w:pPr>
        <w:ind w:left="1040" w:hanging="360"/>
      </w:pPr>
      <w:rPr>
        <w:rFonts w:hint="default"/>
      </w:rPr>
    </w:lvl>
    <w:lvl w:ilvl="2" w:tplc="19C040DA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580639FC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F506A3A0"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CCDCA8E4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B6148C3A"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06AEAB1C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03B6C072"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" w15:restartNumberingAfterBreak="0">
    <w:nsid w:val="337B296E"/>
    <w:multiLevelType w:val="hybridMultilevel"/>
    <w:tmpl w:val="36A837B6"/>
    <w:lvl w:ilvl="0" w:tplc="C08663CE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99E31D6">
      <w:start w:val="1"/>
      <w:numFmt w:val="lowerLetter"/>
      <w:lvlText w:val="%2)"/>
      <w:lvlJc w:val="left"/>
      <w:pPr>
        <w:ind w:left="155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6907230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2DE65730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4C28EF16"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C8141E4E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59880B2"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BD46A410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8424D2AE"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AD"/>
    <w:rsid w:val="005E788B"/>
    <w:rsid w:val="007C53E9"/>
    <w:rsid w:val="00C0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1573AEC"/>
  <w15:docId w15:val="{178074D6-E61B-4F70-9FEC-3CCEBC9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513"/>
      <w:outlineLvl w:val="0"/>
    </w:pPr>
    <w:rPr>
      <w:rFonts w:ascii="Calibri" w:eastAsia="Calibri" w:hAnsi="Calibri" w:cs="Calibri"/>
      <w:sz w:val="27"/>
      <w:szCs w:val="27"/>
    </w:rPr>
  </w:style>
  <w:style w:type="paragraph" w:styleId="Nadpis2">
    <w:name w:val="heading 2"/>
    <w:basedOn w:val="Normln"/>
    <w:uiPriority w:val="1"/>
    <w:qFormat/>
    <w:pPr>
      <w:spacing w:before="1"/>
      <w:ind w:left="824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0"/>
      <w:ind w:left="118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5895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BO NUDZ - MÚZO</vt:lpstr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BO NUDZ - MÚZO</dc:title>
  <dc:creator>jana.polackova</dc:creator>
  <cp:lastModifiedBy>Vysinova Sarka</cp:lastModifiedBy>
  <cp:revision>2</cp:revision>
  <dcterms:created xsi:type="dcterms:W3CDTF">2021-08-10T17:09:00Z</dcterms:created>
  <dcterms:modified xsi:type="dcterms:W3CDTF">2021-08-10T17:09:00Z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2021-08-05T00:00:00Z</vt:filetime>
  </property>
</Properties>
</file>