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5900" w:y="11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4"/>
        <w:framePr w:w="11016" w:h="1012" w:hRule="exact" w:wrap="none" w:vAnchor="page" w:hAnchor="page" w:x="197" w:y="1081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8083" w:firstLine="0"/>
      </w:pPr>
      <w:bookmarkStart w:id="0" w:name="bookmark0"/>
      <w:r>
        <w:rPr>
          <w:rStyle w:val="CharStyle6"/>
          <w:i w:val="0"/>
          <w:iCs w:val="0"/>
        </w:rPr>
        <w:t xml:space="preserve">Objednatel: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Město Český Těšín</w:t>
        <w:br/>
      </w:r>
      <w:r>
        <w:rPr>
          <w:rStyle w:val="CharStyle6"/>
          <w:i w:val="0"/>
          <w:iCs w:val="0"/>
        </w:rPr>
        <w:t>Stavba: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kanceláře</w:t>
      </w:r>
      <w:bookmarkEnd w:id="0"/>
    </w:p>
    <w:p>
      <w:pPr>
        <w:pStyle w:val="Style7"/>
        <w:framePr w:w="11016" w:h="1012" w:hRule="exact" w:wrap="none" w:vAnchor="page" w:hAnchor="page" w:x="197" w:y="1081"/>
        <w:widowControl w:val="0"/>
        <w:keepNext w:val="0"/>
        <w:keepLines w:val="0"/>
        <w:shd w:val="clear" w:color="auto" w:fill="auto"/>
        <w:bidi w:val="0"/>
        <w:spacing w:before="0" w:after="0"/>
        <w:ind w:left="0" w:right="8083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příloha č. 1</w:t>
      </w:r>
      <w:bookmarkEnd w:id="1"/>
    </w:p>
    <w:p>
      <w:pPr>
        <w:pStyle w:val="Style2"/>
        <w:framePr w:w="2030" w:h="1012" w:hRule="exact" w:wrap="none" w:vAnchor="page" w:hAnchor="page" w:x="7949" w:y="1100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QUIX SERVICE, s.r.o. Životická 250 735 43 Albrechtice</w:t>
      </w:r>
    </w:p>
    <w:p>
      <w:pPr>
        <w:pStyle w:val="Style4"/>
        <w:framePr w:wrap="none" w:vAnchor="page" w:hAnchor="page" w:x="7949" w:y="2126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IČO: 25877399</w:t>
      </w:r>
      <w:bookmarkEnd w:id="2"/>
    </w:p>
    <w:tbl>
      <w:tblPr>
        <w:tblOverlap w:val="never"/>
        <w:tblLayout w:type="fixed"/>
        <w:jc w:val="left"/>
      </w:tblPr>
      <w:tblGrid>
        <w:gridCol w:w="1214"/>
        <w:gridCol w:w="4531"/>
        <w:gridCol w:w="1181"/>
        <w:gridCol w:w="874"/>
        <w:gridCol w:w="1277"/>
        <w:gridCol w:w="2198"/>
      </w:tblGrid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Název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Jedn.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Množství Cena/|edn.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10"/>
                <w:i w:val="0"/>
                <w:iCs w:val="0"/>
              </w:rPr>
              <w:t>Celkem (bez DPH)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Zednické + Malba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začištění a zahození rýh svislé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662,00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9599,00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začištění a zahození rýh vodorovné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662,00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1390,20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sádrová stěrka 40% oprava povrchu svislých ploch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248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210,00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52080,00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škrábání barvy svislé plochy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28,5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350,00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9975,00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přebroušení a očištění všech stěn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620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30,00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18600,00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podhledy + stěny SDK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44,7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690,00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30843,00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zakrytí otvorů za topením SDK+ lišta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590,00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14750,00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SDK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539,00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17248,00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dem + mon dveřní práh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190,00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2850,00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broušení a nátěr dveřní práh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350,00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5250,00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mat. práh dveří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210,00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3150,00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0,00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13.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Ostatní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275" w:h="7810" w:wrap="none" w:vAnchor="page" w:hAnchor="page" w:x="87" w:y="23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14.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zřízení staveniště+inženýrská činnost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1 250,00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1250,00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15.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uskladnění odpadů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755,00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755,00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16.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lešení lehké pomocné, výška podlahy do 2,5m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1 350,00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1350,00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17.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vnitrostaveništní přesuny hmot,pomocné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632,00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632,00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0"/>
                <w:i w:val="0"/>
                <w:iCs w:val="0"/>
              </w:rPr>
              <w:t>18.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odvoz odpadu mimo stavební suť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658,00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658,00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19.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odvoz suti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1 980,00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1980,00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20.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doprava materiálu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1 300,00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1300,00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21.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hrubý úklid staveniště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1 100,00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1100,00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9"/>
                <w:i w:val="0"/>
                <w:iCs w:val="0"/>
              </w:rPr>
              <w:t>22.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nepředvídané náklady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soub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6" w:lineRule="exact"/>
              <w:ind w:left="0" w:right="0" w:firstLine="0"/>
            </w:pPr>
            <w:r>
              <w:rPr>
                <w:rStyle w:val="CharStyle11"/>
                <w:i w:val="0"/>
                <w:iCs w:val="0"/>
              </w:rPr>
              <w:t>4 900,00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1275" w:h="7810" w:wrap="none" w:vAnchor="page" w:hAnchor="page" w:x="87" w:y="2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12"/>
                <w:i/>
                <w:iCs/>
              </w:rPr>
              <w:t>4900,00</w:t>
            </w:r>
          </w:p>
        </w:tc>
      </w:tr>
    </w:tbl>
    <w:tbl>
      <w:tblPr>
        <w:tblOverlap w:val="never"/>
        <w:tblLayout w:type="fixed"/>
        <w:jc w:val="left"/>
      </w:tblPr>
      <w:tblGrid>
        <w:gridCol w:w="5002"/>
        <w:gridCol w:w="4939"/>
      </w:tblGrid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9941" w:h="893" w:wrap="none" w:vAnchor="page" w:hAnchor="page" w:x="1272" w:y="10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/>
                <w:iCs/>
              </w:rPr>
              <w:t>Cena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9941" w:h="893" w:wrap="none" w:vAnchor="page" w:hAnchor="page" w:x="1272" w:y="10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/>
                <w:iCs/>
              </w:rPr>
              <w:t>179 660,20 Kč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941" w:h="893" w:wrap="none" w:vAnchor="page" w:hAnchor="page" w:x="1272" w:y="10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/>
                <w:iCs/>
              </w:rPr>
              <w:t>DPH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941" w:h="893" w:wrap="none" w:vAnchor="page" w:hAnchor="page" w:x="1272" w:y="10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/>
                <w:iCs/>
              </w:rPr>
              <w:t>37 728,64 Kč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941" w:h="893" w:wrap="none" w:vAnchor="page" w:hAnchor="page" w:x="1272" w:y="10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/>
                <w:iCs/>
              </w:rPr>
              <w:t>Cena s 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9941" w:h="893" w:wrap="none" w:vAnchor="page" w:hAnchor="page" w:x="1272" w:y="10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3"/>
                <w:b w:val="0"/>
                <w:bCs w:val="0"/>
                <w:i/>
                <w:iCs/>
              </w:rPr>
              <w:t>217 388,84 Kč</w:t>
            </w:r>
          </w:p>
        </w:tc>
      </w:tr>
    </w:tbl>
    <w:p>
      <w:pPr>
        <w:pStyle w:val="Style7"/>
        <w:framePr w:wrap="none" w:vAnchor="page" w:hAnchor="page" w:x="197" w:y="16149"/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882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BKB - SM - 3982</w:t>
      </w:r>
      <w:bookmarkEnd w:id="3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Heading #1_"/>
    <w:basedOn w:val="DefaultParagraphFont"/>
    <w:link w:val="Style4"/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Heading #1 + Not Italic"/>
    <w:basedOn w:val="CharStyle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8">
    <w:name w:val="Heading #2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">
    <w:name w:val="Body text (2) + Tahoma,7 pt,Bold,Not Italic"/>
    <w:basedOn w:val="CharStyle3"/>
    <w:rPr>
      <w:lang w:val="cs-CZ" w:eastAsia="cs-CZ" w:bidi="cs-CZ"/>
      <w:b/>
      <w:bCs/>
      <w:i/>
      <w:iCs/>
      <w:sz w:val="14"/>
      <w:szCs w:val="14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0">
    <w:name w:val="Body text (2) + Bold,Not Italic"/>
    <w:basedOn w:val="CharStyle3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11">
    <w:name w:val="Body text (2) + Meiryo UI,6.5 pt,Not Italic"/>
    <w:basedOn w:val="CharStyle3"/>
    <w:rPr>
      <w:lang w:val="cs-CZ" w:eastAsia="cs-CZ" w:bidi="cs-CZ"/>
      <w:i/>
      <w:iCs/>
      <w:sz w:val="13"/>
      <w:szCs w:val="13"/>
      <w:rFonts w:ascii="Meiryo UI" w:eastAsia="Meiryo UI" w:hAnsi="Meiryo UI" w:cs="Meiryo UI"/>
      <w:w w:val="100"/>
      <w:spacing w:val="0"/>
      <w:color w:val="000000"/>
      <w:position w:val="0"/>
    </w:rPr>
  </w:style>
  <w:style w:type="character" w:customStyle="1" w:styleId="CharStyle12">
    <w:name w:val="Body text (2)"/>
    <w:basedOn w:val="CharStyle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3">
    <w:name w:val="Body text (2) + Meiryo UI,10 pt"/>
    <w:basedOn w:val="CharStyle3"/>
    <w:rPr>
      <w:lang w:val="cs-CZ" w:eastAsia="cs-CZ" w:bidi="cs-CZ"/>
      <w:b/>
      <w:bCs/>
      <w:sz w:val="20"/>
      <w:szCs w:val="20"/>
      <w:rFonts w:ascii="Meiryo UI" w:eastAsia="Meiryo UI" w:hAnsi="Meiryo UI" w:cs="Meiryo UI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line="212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FFFFFF"/>
      <w:jc w:val="both"/>
      <w:outlineLvl w:val="0"/>
      <w:spacing w:line="317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Heading #2"/>
    <w:basedOn w:val="Normal"/>
    <w:link w:val="CharStyle8"/>
    <w:pPr>
      <w:widowControl w:val="0"/>
      <w:shd w:val="clear" w:color="auto" w:fill="FFFFFF"/>
      <w:jc w:val="both"/>
      <w:outlineLvl w:val="1"/>
      <w:spacing w:line="317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