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982E12">
        <w:rPr>
          <w:rFonts w:ascii="Code 128 Notext" w:hAnsi="Code 128 Notext" w:cs="Arial" w:hint="eastAsia"/>
          <w:sz w:val="72"/>
          <w:szCs w:val="72"/>
        </w:rPr>
        <w:t>µ</w:t>
      </w:r>
      <w:r w:rsidR="00982E12">
        <w:rPr>
          <w:rFonts w:ascii="Code 128 Notext" w:hAnsi="Code 128 Notext" w:cs="Arial"/>
          <w:sz w:val="72"/>
          <w:szCs w:val="72"/>
        </w:rPr>
        <w:t>#20100/A/2017-HMO2@w</w:t>
      </w:r>
      <w:r w:rsidR="00982E12">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982E12">
        <w:rPr>
          <w:rFonts w:ascii="Arial" w:hAnsi="Arial" w:cs="Arial"/>
          <w:sz w:val="18"/>
          <w:szCs w:val="18"/>
        </w:rPr>
        <w:t>20100/A/2017-HMO2</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proofErr w:type="gramStart"/>
      <w:r w:rsidRPr="00976B4A">
        <w:rPr>
          <w:rFonts w:ascii="Arial" w:hAnsi="Arial" w:cs="Arial"/>
          <w:sz w:val="18"/>
          <w:szCs w:val="18"/>
        </w:rPr>
        <w:t>Č.j.</w:t>
      </w:r>
      <w:proofErr w:type="gramEnd"/>
      <w:r w:rsidRPr="00976B4A">
        <w:rPr>
          <w:rFonts w:ascii="Arial" w:hAnsi="Arial" w:cs="Arial"/>
          <w:sz w:val="18"/>
          <w:szCs w:val="18"/>
        </w:rPr>
        <w:t xml:space="preserve">: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982E12">
        <w:rPr>
          <w:rFonts w:ascii="Arial" w:hAnsi="Arial" w:cs="Arial"/>
          <w:sz w:val="18"/>
          <w:szCs w:val="18"/>
        </w:rPr>
        <w:t>UZSVM/A/12119/2017-HMO2</w:t>
      </w:r>
      <w:r w:rsidRPr="00976B4A">
        <w:rPr>
          <w:rFonts w:ascii="Arial" w:hAnsi="Arial" w:cs="Arial"/>
          <w:sz w:val="18"/>
          <w:szCs w:val="18"/>
        </w:rPr>
        <w:fldChar w:fldCharType="end"/>
      </w:r>
    </w:p>
    <w:p w:rsidR="00CF0BEF" w:rsidRDefault="00CF0BEF" w:rsidP="00180243">
      <w:pPr>
        <w:tabs>
          <w:tab w:val="left" w:pos="708"/>
          <w:tab w:val="left" w:pos="1418"/>
          <w:tab w:val="left" w:pos="4678"/>
          <w:tab w:val="right" w:pos="8931"/>
        </w:tabs>
        <w:jc w:val="both"/>
        <w:rPr>
          <w:rFonts w:ascii="Arial" w:hAnsi="Arial" w:cs="Arial"/>
          <w:b/>
          <w:sz w:val="22"/>
          <w:szCs w:val="22"/>
        </w:rPr>
      </w:pPr>
    </w:p>
    <w:p w:rsidR="00180243" w:rsidRDefault="00180243" w:rsidP="00180243">
      <w:pPr>
        <w:tabs>
          <w:tab w:val="left" w:pos="708"/>
          <w:tab w:val="left" w:pos="1418"/>
          <w:tab w:val="left" w:pos="4678"/>
          <w:tab w:val="right" w:pos="8931"/>
        </w:tabs>
        <w:jc w:val="both"/>
        <w:rPr>
          <w:rFonts w:ascii="Arial" w:hAnsi="Arial" w:cs="Arial"/>
          <w:b/>
          <w:sz w:val="22"/>
          <w:szCs w:val="22"/>
        </w:rPr>
      </w:pPr>
      <w:r>
        <w:rPr>
          <w:rFonts w:ascii="Arial" w:hAnsi="Arial" w:cs="Arial"/>
          <w:b/>
          <w:sz w:val="22"/>
          <w:szCs w:val="22"/>
        </w:rPr>
        <w:t xml:space="preserve">Česká republika - </w:t>
      </w:r>
      <w:r>
        <w:rPr>
          <w:rFonts w:ascii="Arial" w:hAnsi="Arial" w:cs="Arial"/>
          <w:b/>
          <w:sz w:val="22"/>
          <w:szCs w:val="22"/>
        </w:rPr>
        <w:fldChar w:fldCharType="begin"/>
      </w:r>
      <w:r>
        <w:rPr>
          <w:rFonts w:ascii="Arial" w:hAnsi="Arial" w:cs="Arial"/>
          <w:b/>
          <w:sz w:val="22"/>
          <w:szCs w:val="22"/>
        </w:rPr>
        <w:instrText xml:space="preserve"> DOCPROPERTY  NazevUZSVM  \* MERGEFORMAT </w:instrText>
      </w:r>
      <w:r>
        <w:rPr>
          <w:rFonts w:ascii="Arial" w:hAnsi="Arial" w:cs="Arial"/>
          <w:b/>
          <w:sz w:val="22"/>
          <w:szCs w:val="22"/>
        </w:rPr>
        <w:fldChar w:fldCharType="separate"/>
      </w:r>
      <w:r w:rsidR="00982E12">
        <w:rPr>
          <w:rFonts w:ascii="Arial" w:hAnsi="Arial" w:cs="Arial"/>
          <w:b/>
          <w:sz w:val="22"/>
          <w:szCs w:val="22"/>
        </w:rPr>
        <w:t>Úřad pro zastupování státu ve věcech majetkových</w:t>
      </w:r>
      <w:r>
        <w:rPr>
          <w:rFonts w:ascii="Arial" w:hAnsi="Arial" w:cs="Arial"/>
          <w:b/>
          <w:sz w:val="22"/>
          <w:szCs w:val="22"/>
        </w:rPr>
        <w:fldChar w:fldCharType="end"/>
      </w:r>
      <w:r>
        <w:rPr>
          <w:rFonts w:ascii="Arial" w:hAnsi="Arial" w:cs="Arial"/>
          <w:b/>
          <w:sz w:val="22"/>
          <w:szCs w:val="22"/>
        </w:rPr>
        <w:t>,</w:t>
      </w:r>
    </w:p>
    <w:p w:rsidR="00180243" w:rsidRDefault="00180243" w:rsidP="00180243">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fldChar w:fldCharType="begin"/>
      </w:r>
      <w:r>
        <w:rPr>
          <w:rFonts w:ascii="Arial" w:hAnsi="Arial" w:cs="Arial"/>
          <w:sz w:val="22"/>
          <w:szCs w:val="22"/>
        </w:rPr>
        <w:instrText xml:space="preserve"> DOCPROPERTY  AdresaUZSVM  \* MERGEFORMAT </w:instrText>
      </w:r>
      <w:r>
        <w:rPr>
          <w:rFonts w:ascii="Arial" w:hAnsi="Arial" w:cs="Arial"/>
          <w:sz w:val="22"/>
          <w:szCs w:val="22"/>
        </w:rPr>
        <w:fldChar w:fldCharType="separate"/>
      </w:r>
      <w:r w:rsidR="00982E12">
        <w:rPr>
          <w:rFonts w:ascii="Arial" w:hAnsi="Arial" w:cs="Arial"/>
          <w:sz w:val="22"/>
          <w:szCs w:val="22"/>
        </w:rPr>
        <w:t>Rašínovo nábřeží 390/42, 128 00 Nové Město, Praha 2</w:t>
      </w:r>
      <w:r>
        <w:rPr>
          <w:rFonts w:ascii="Arial" w:hAnsi="Arial" w:cs="Arial"/>
          <w:sz w:val="22"/>
          <w:szCs w:val="22"/>
        </w:rPr>
        <w:fldChar w:fldCharType="end"/>
      </w:r>
      <w:r>
        <w:rPr>
          <w:rFonts w:ascii="Arial" w:hAnsi="Arial" w:cs="Arial"/>
          <w:sz w:val="22"/>
          <w:szCs w:val="22"/>
        </w:rPr>
        <w:t>,</w:t>
      </w:r>
    </w:p>
    <w:p w:rsidR="00CF0BEF" w:rsidRDefault="00180243" w:rsidP="00CF0BEF">
      <w:pPr>
        <w:jc w:val="both"/>
        <w:rPr>
          <w:rFonts w:ascii="Arial" w:hAnsi="Arial" w:cs="Arial"/>
          <w:i/>
          <w:sz w:val="22"/>
          <w:szCs w:val="22"/>
        </w:rPr>
      </w:pPr>
      <w:r>
        <w:rPr>
          <w:rFonts w:ascii="Arial" w:hAnsi="Arial" w:cs="Arial"/>
          <w:sz w:val="22"/>
          <w:szCs w:val="22"/>
        </w:rPr>
        <w:t xml:space="preserve">za kterou právně jedná </w:t>
      </w:r>
      <w:r w:rsidR="00CF0BEF">
        <w:rPr>
          <w:rFonts w:ascii="Arial" w:hAnsi="Arial" w:cs="Arial"/>
          <w:sz w:val="22"/>
          <w:szCs w:val="22"/>
        </w:rPr>
        <w:t>Ing. Vladimír Hůlka, pověřen zastupováním pracovního místa ředitele Územního pracoviště v hlavním městě Praze na základě Příkazu generálního ředitele č. 6/2014 v platném znění</w:t>
      </w:r>
      <w:r w:rsidR="00CF0BEF">
        <w:rPr>
          <w:rFonts w:ascii="Arial" w:hAnsi="Arial" w:cs="Arial"/>
          <w:i/>
          <w:sz w:val="22"/>
          <w:szCs w:val="22"/>
        </w:rPr>
        <w:t>,</w:t>
      </w:r>
    </w:p>
    <w:p w:rsidR="00180243" w:rsidRDefault="00180243" w:rsidP="00180243">
      <w:pPr>
        <w:jc w:val="both"/>
        <w:rPr>
          <w:rFonts w:ascii="Arial" w:hAnsi="Arial" w:cs="Arial"/>
          <w:sz w:val="22"/>
          <w:szCs w:val="22"/>
        </w:rPr>
      </w:pPr>
      <w:r>
        <w:rPr>
          <w:rFonts w:ascii="Arial" w:hAnsi="Arial" w:cs="Arial"/>
          <w:sz w:val="22"/>
          <w:szCs w:val="22"/>
        </w:rPr>
        <w:t>IČO: 69797111</w:t>
      </w:r>
    </w:p>
    <w:p w:rsidR="00180243" w:rsidRDefault="00180243" w:rsidP="00180243">
      <w:pPr>
        <w:jc w:val="both"/>
        <w:rPr>
          <w:rFonts w:ascii="Arial" w:hAnsi="Arial" w:cs="Arial"/>
          <w:b/>
          <w:sz w:val="22"/>
          <w:szCs w:val="22"/>
        </w:rPr>
      </w:pPr>
      <w:r>
        <w:rPr>
          <w:rFonts w:ascii="Arial" w:hAnsi="Arial" w:cs="Arial"/>
          <w:b/>
          <w:sz w:val="22"/>
          <w:szCs w:val="22"/>
        </w:rPr>
        <w:t>(dále jen „prodávající“)</w:t>
      </w:r>
    </w:p>
    <w:p w:rsidR="00180243" w:rsidRDefault="00180243" w:rsidP="00180243">
      <w:pPr>
        <w:jc w:val="both"/>
        <w:rPr>
          <w:b/>
        </w:rPr>
      </w:pPr>
    </w:p>
    <w:p w:rsidR="00180243" w:rsidRDefault="00180243" w:rsidP="00180243">
      <w:pPr>
        <w:spacing w:before="120" w:after="120"/>
        <w:jc w:val="both"/>
        <w:rPr>
          <w:rFonts w:ascii="Arial" w:hAnsi="Arial" w:cs="Arial"/>
          <w:sz w:val="22"/>
          <w:szCs w:val="22"/>
        </w:rPr>
      </w:pPr>
      <w:r>
        <w:rPr>
          <w:rFonts w:ascii="Arial" w:hAnsi="Arial" w:cs="Arial"/>
          <w:sz w:val="22"/>
          <w:szCs w:val="22"/>
        </w:rPr>
        <w:t>a</w:t>
      </w:r>
    </w:p>
    <w:p w:rsidR="00180243" w:rsidRDefault="00180243" w:rsidP="00180243">
      <w:pPr>
        <w:spacing w:before="120" w:after="120"/>
        <w:jc w:val="both"/>
        <w:rPr>
          <w:rFonts w:ascii="Arial" w:hAnsi="Arial" w:cs="Arial"/>
          <w:sz w:val="22"/>
          <w:szCs w:val="22"/>
        </w:rPr>
      </w:pPr>
    </w:p>
    <w:p w:rsidR="00180243" w:rsidRPr="00CF0BEF" w:rsidRDefault="00DC3520" w:rsidP="00180243">
      <w:pPr>
        <w:jc w:val="both"/>
        <w:rPr>
          <w:rFonts w:ascii="Arial" w:hAnsi="Arial" w:cs="Arial"/>
          <w:b/>
          <w:i/>
          <w:sz w:val="22"/>
          <w:szCs w:val="22"/>
        </w:rPr>
      </w:pPr>
      <w:r w:rsidRPr="00CF0BEF">
        <w:rPr>
          <w:rFonts w:ascii="Arial" w:hAnsi="Arial"/>
          <w:b/>
          <w:sz w:val="22"/>
        </w:rPr>
        <w:t>VÝBĚR REALITY, s.r.o.</w:t>
      </w:r>
      <w:r w:rsidR="00180243" w:rsidRPr="00CF0BEF">
        <w:rPr>
          <w:rFonts w:ascii="Arial" w:hAnsi="Arial" w:cs="Arial"/>
          <w:b/>
          <w:i/>
          <w:sz w:val="22"/>
          <w:szCs w:val="22"/>
        </w:rPr>
        <w:t>,</w:t>
      </w:r>
    </w:p>
    <w:p w:rsidR="00180243" w:rsidRDefault="0054284B" w:rsidP="00180243">
      <w:pPr>
        <w:jc w:val="both"/>
        <w:rPr>
          <w:rFonts w:ascii="Arial" w:hAnsi="Arial" w:cs="Arial"/>
          <w:i/>
          <w:iCs/>
          <w:sz w:val="22"/>
          <w:szCs w:val="22"/>
        </w:rPr>
      </w:pPr>
      <w:proofErr w:type="spellStart"/>
      <w:r>
        <w:rPr>
          <w:rFonts w:ascii="Arial" w:hAnsi="Arial" w:cs="Arial"/>
          <w:sz w:val="22"/>
          <w:szCs w:val="22"/>
        </w:rPr>
        <w:t>xxxxxxxxxxxxxxxxxxxxxxxxxxxxxxxx</w:t>
      </w:r>
      <w:proofErr w:type="spellEnd"/>
      <w:r w:rsidR="00180243">
        <w:rPr>
          <w:rFonts w:ascii="Arial" w:hAnsi="Arial" w:cs="Arial"/>
          <w:sz w:val="22"/>
          <w:szCs w:val="22"/>
        </w:rPr>
        <w:t>,</w:t>
      </w:r>
    </w:p>
    <w:p w:rsidR="00180243" w:rsidRDefault="0054284B" w:rsidP="00180243">
      <w:pPr>
        <w:ind w:right="-142"/>
        <w:jc w:val="both"/>
        <w:rPr>
          <w:rFonts w:ascii="Arial" w:hAnsi="Arial" w:cs="Arial"/>
          <w:i/>
          <w:sz w:val="22"/>
          <w:szCs w:val="22"/>
        </w:rPr>
      </w:pPr>
      <w:proofErr w:type="spellStart"/>
      <w:r>
        <w:rPr>
          <w:rFonts w:ascii="Arial" w:hAnsi="Arial" w:cs="Arial"/>
          <w:sz w:val="22"/>
          <w:szCs w:val="22"/>
        </w:rPr>
        <w:t>xxxxxxxxxxxxxxxxxxxxxxxxxxxxxxxx</w:t>
      </w:r>
      <w:proofErr w:type="spellEnd"/>
    </w:p>
    <w:p w:rsidR="00180243" w:rsidRDefault="0054284B" w:rsidP="00180243">
      <w:pPr>
        <w:jc w:val="both"/>
        <w:rPr>
          <w:rFonts w:ascii="Arial" w:hAnsi="Arial" w:cs="Arial"/>
          <w:sz w:val="22"/>
          <w:szCs w:val="22"/>
        </w:rPr>
      </w:pPr>
      <w:proofErr w:type="spellStart"/>
      <w:r>
        <w:rPr>
          <w:rFonts w:ascii="Arial" w:hAnsi="Arial" w:cs="Arial"/>
          <w:sz w:val="22"/>
          <w:szCs w:val="22"/>
        </w:rPr>
        <w:t>xxxxxxxxxxxxxxxxxxxxxxxxxxxxxxxxxxx</w:t>
      </w:r>
      <w:proofErr w:type="spellEnd"/>
      <w:r w:rsidR="00180243">
        <w:rPr>
          <w:rFonts w:ascii="Arial" w:hAnsi="Arial" w:cs="Arial"/>
          <w:sz w:val="22"/>
          <w:szCs w:val="22"/>
        </w:rPr>
        <w:t>,</w:t>
      </w:r>
    </w:p>
    <w:p w:rsidR="00CF0BEF" w:rsidRDefault="0054284B" w:rsidP="00180243">
      <w:pPr>
        <w:jc w:val="both"/>
        <w:rPr>
          <w:rFonts w:ascii="Arial" w:hAnsi="Arial" w:cs="Arial"/>
          <w:i/>
          <w:sz w:val="22"/>
          <w:szCs w:val="22"/>
        </w:rPr>
      </w:pPr>
      <w:proofErr w:type="spellStart"/>
      <w:r>
        <w:rPr>
          <w:rFonts w:ascii="Arial" w:hAnsi="Arial" w:cs="Arial"/>
          <w:sz w:val="22"/>
          <w:szCs w:val="22"/>
        </w:rPr>
        <w:t>xxxxxxxxxxxxxxxxxxxxxxxxxxxxxxxxxxxxx</w:t>
      </w:r>
      <w:proofErr w:type="spellEnd"/>
    </w:p>
    <w:p w:rsidR="00180243" w:rsidRDefault="00CF0BEF" w:rsidP="00180243">
      <w:pPr>
        <w:jc w:val="both"/>
        <w:rPr>
          <w:rFonts w:ascii="Arial" w:hAnsi="Arial" w:cs="Arial"/>
          <w:b/>
          <w:sz w:val="22"/>
          <w:szCs w:val="22"/>
        </w:rPr>
      </w:pPr>
      <w:r>
        <w:rPr>
          <w:rFonts w:ascii="Arial" w:hAnsi="Arial" w:cs="Arial"/>
          <w:b/>
          <w:sz w:val="22"/>
          <w:szCs w:val="22"/>
        </w:rPr>
        <w:t xml:space="preserve"> </w:t>
      </w:r>
      <w:r w:rsidR="00180243">
        <w:rPr>
          <w:rFonts w:ascii="Arial" w:hAnsi="Arial" w:cs="Arial"/>
          <w:b/>
          <w:sz w:val="22"/>
          <w:szCs w:val="22"/>
        </w:rPr>
        <w:t>(dále jen „kupující“)</w:t>
      </w:r>
    </w:p>
    <w:p w:rsidR="00180243" w:rsidRDefault="00180243" w:rsidP="00180243">
      <w:pPr>
        <w:tabs>
          <w:tab w:val="left" w:pos="120"/>
          <w:tab w:val="left" w:pos="3402"/>
          <w:tab w:val="left" w:pos="6237"/>
        </w:tabs>
        <w:ind w:left="505" w:hanging="505"/>
        <w:jc w:val="both"/>
        <w:rPr>
          <w:rFonts w:ascii="Arial" w:hAnsi="Arial" w:cs="Arial"/>
          <w:b/>
          <w:i/>
          <w:sz w:val="22"/>
          <w:szCs w:val="22"/>
          <w:u w:val="single"/>
        </w:rPr>
      </w:pPr>
    </w:p>
    <w:p w:rsidR="00180243" w:rsidRDefault="00180243" w:rsidP="00180243">
      <w:pPr>
        <w:tabs>
          <w:tab w:val="left" w:pos="120"/>
          <w:tab w:val="left" w:pos="3402"/>
          <w:tab w:val="left" w:pos="6237"/>
        </w:tabs>
        <w:ind w:left="505" w:hanging="505"/>
        <w:jc w:val="both"/>
        <w:rPr>
          <w:rFonts w:ascii="Arial" w:hAnsi="Arial" w:cs="Arial"/>
          <w:b/>
          <w:i/>
          <w:sz w:val="22"/>
          <w:szCs w:val="22"/>
        </w:rPr>
      </w:pPr>
    </w:p>
    <w:p w:rsidR="00180243" w:rsidRDefault="00180243" w:rsidP="00180243">
      <w:pPr>
        <w:jc w:val="both"/>
        <w:rPr>
          <w:rFonts w:ascii="Arial" w:hAnsi="Arial" w:cs="Arial"/>
          <w:sz w:val="22"/>
          <w:szCs w:val="22"/>
        </w:rPr>
      </w:pPr>
      <w:r>
        <w:rPr>
          <w:rFonts w:ascii="Arial" w:hAnsi="Arial" w:cs="Arial"/>
          <w:sz w:val="22"/>
          <w:szCs w:val="22"/>
        </w:rPr>
        <w:t xml:space="preserve">uzavírají podle § 2079 a násl. zákona č. 89/2012 Sb., občanský zákoník (dále jen „zákon </w:t>
      </w:r>
      <w:r>
        <w:rPr>
          <w:rFonts w:ascii="Arial" w:hAnsi="Arial" w:cs="Arial"/>
          <w:sz w:val="22"/>
          <w:szCs w:val="22"/>
        </w:rPr>
        <w:br/>
        <w:t>č. 89/2012 Sb. “), a podle zákona č. 219/2000 Sb., o majetku České republiky a jejím vystupování v právních vztazích, ve znění pozdějších předpisů (dále jen „zákon č. 219/2000 Sb.,“) tuto</w:t>
      </w:r>
    </w:p>
    <w:p w:rsidR="00180243" w:rsidRDefault="00180243" w:rsidP="00180243">
      <w:pPr>
        <w:tabs>
          <w:tab w:val="left" w:pos="1635"/>
        </w:tabs>
        <w:spacing w:before="360"/>
        <w:jc w:val="both"/>
        <w:rPr>
          <w:rFonts w:ascii="Arial" w:hAnsi="Arial" w:cs="Arial"/>
          <w:sz w:val="22"/>
          <w:szCs w:val="22"/>
        </w:rPr>
      </w:pPr>
    </w:p>
    <w:p w:rsidR="00180243" w:rsidRDefault="00180243" w:rsidP="00180243">
      <w:pPr>
        <w:tabs>
          <w:tab w:val="left" w:pos="1635"/>
        </w:tabs>
        <w:spacing w:before="360"/>
        <w:jc w:val="both"/>
        <w:rPr>
          <w:rFonts w:ascii="Arial" w:hAnsi="Arial" w:cs="Arial"/>
          <w:b/>
          <w:spacing w:val="60"/>
          <w:sz w:val="28"/>
          <w:szCs w:val="28"/>
        </w:rPr>
      </w:pPr>
    </w:p>
    <w:p w:rsidR="00180243" w:rsidRDefault="00180243" w:rsidP="00180243">
      <w:pPr>
        <w:tabs>
          <w:tab w:val="left" w:pos="1635"/>
        </w:tabs>
        <w:spacing w:before="360"/>
        <w:jc w:val="center"/>
        <w:rPr>
          <w:rFonts w:ascii="Arial" w:hAnsi="Arial" w:cs="Arial"/>
          <w:b/>
          <w:spacing w:val="60"/>
          <w:sz w:val="28"/>
          <w:szCs w:val="28"/>
        </w:rPr>
      </w:pPr>
      <w:r>
        <w:rPr>
          <w:rFonts w:ascii="Arial" w:hAnsi="Arial" w:cs="Arial"/>
          <w:b/>
          <w:spacing w:val="60"/>
          <w:sz w:val="28"/>
          <w:szCs w:val="28"/>
        </w:rPr>
        <w:t>KUPNÍ SMLOUVU</w:t>
      </w:r>
    </w:p>
    <w:p w:rsidR="00180243" w:rsidRDefault="00180243" w:rsidP="006C308B">
      <w:pPr>
        <w:tabs>
          <w:tab w:val="left" w:pos="709"/>
          <w:tab w:val="left" w:pos="3544"/>
          <w:tab w:val="left" w:pos="3969"/>
        </w:tabs>
        <w:spacing w:before="240" w:after="120"/>
        <w:jc w:val="center"/>
        <w:rPr>
          <w:rFonts w:ascii="Arial" w:hAnsi="Arial" w:cs="Arial"/>
          <w:b/>
          <w:sz w:val="22"/>
          <w:szCs w:val="22"/>
        </w:rPr>
      </w:pPr>
      <w:r>
        <w:rPr>
          <w:rFonts w:ascii="Arial" w:hAnsi="Arial" w:cs="Arial"/>
          <w:b/>
          <w:spacing w:val="60"/>
          <w:sz w:val="28"/>
          <w:szCs w:val="28"/>
        </w:rPr>
        <w:t xml:space="preserve">č. </w:t>
      </w:r>
      <w:r w:rsidR="006C308B" w:rsidRPr="006C308B">
        <w:rPr>
          <w:rFonts w:ascii="Arial" w:hAnsi="Arial"/>
          <w:b/>
          <w:spacing w:val="60"/>
          <w:sz w:val="28"/>
          <w:szCs w:val="20"/>
        </w:rPr>
        <w:t>UZSVM/A/12119/2017-HMO2</w:t>
      </w:r>
    </w:p>
    <w:p w:rsidR="00180243" w:rsidRDefault="00180243" w:rsidP="00180243">
      <w:pPr>
        <w:keepNext/>
        <w:jc w:val="center"/>
        <w:outlineLvl w:val="0"/>
        <w:rPr>
          <w:rFonts w:ascii="Arial" w:hAnsi="Arial" w:cs="Arial"/>
          <w:b/>
          <w:sz w:val="22"/>
          <w:szCs w:val="22"/>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I.</w:t>
      </w:r>
    </w:p>
    <w:p w:rsidR="00180243" w:rsidRDefault="00180243" w:rsidP="00180243">
      <w:pPr>
        <w:ind w:firstLine="426"/>
        <w:rPr>
          <w:rFonts w:ascii="Arial" w:hAnsi="Arial" w:cs="Arial"/>
          <w:sz w:val="22"/>
          <w:szCs w:val="22"/>
        </w:rPr>
      </w:pPr>
    </w:p>
    <w:p w:rsidR="00180243" w:rsidRDefault="00180243" w:rsidP="00180243">
      <w:pPr>
        <w:numPr>
          <w:ilvl w:val="0"/>
          <w:numId w:val="1"/>
        </w:numPr>
        <w:ind w:left="426" w:hanging="426"/>
        <w:jc w:val="both"/>
        <w:rPr>
          <w:rFonts w:ascii="Arial" w:hAnsi="Arial" w:cs="Arial"/>
          <w:sz w:val="22"/>
          <w:szCs w:val="22"/>
        </w:rPr>
      </w:pPr>
      <w:r>
        <w:rPr>
          <w:rFonts w:ascii="Arial" w:hAnsi="Arial" w:cs="Arial"/>
          <w:sz w:val="22"/>
          <w:szCs w:val="22"/>
        </w:rPr>
        <w:t>Česká republika je vlastníkem níže uvedených nemovitých věcí:</w:t>
      </w:r>
    </w:p>
    <w:p w:rsidR="00180243" w:rsidRDefault="00180243" w:rsidP="00180243">
      <w:pPr>
        <w:ind w:left="426"/>
        <w:jc w:val="both"/>
        <w:rPr>
          <w:rFonts w:ascii="Arial" w:hAnsi="Arial" w:cs="Arial"/>
          <w:sz w:val="22"/>
          <w:szCs w:val="22"/>
        </w:rPr>
      </w:pPr>
    </w:p>
    <w:p w:rsidR="00180243" w:rsidRDefault="00180243" w:rsidP="00180243">
      <w:pPr>
        <w:spacing w:after="120"/>
        <w:ind w:left="426"/>
        <w:jc w:val="both"/>
        <w:outlineLvl w:val="0"/>
        <w:rPr>
          <w:rFonts w:ascii="Arial" w:hAnsi="Arial" w:cs="Arial"/>
          <w:sz w:val="22"/>
          <w:szCs w:val="22"/>
        </w:rPr>
      </w:pPr>
      <w:r>
        <w:rPr>
          <w:rFonts w:ascii="Arial" w:hAnsi="Arial" w:cs="Arial"/>
          <w:b/>
          <w:sz w:val="22"/>
          <w:szCs w:val="22"/>
        </w:rPr>
        <w:t xml:space="preserve">Bytová jednotka č. 816/7 (byt) vymezená v budově </w:t>
      </w:r>
      <w:proofErr w:type="gramStart"/>
      <w:r>
        <w:rPr>
          <w:rFonts w:ascii="Arial" w:hAnsi="Arial" w:cs="Arial"/>
          <w:b/>
          <w:sz w:val="22"/>
          <w:szCs w:val="22"/>
        </w:rPr>
        <w:t>č.p.</w:t>
      </w:r>
      <w:proofErr w:type="gramEnd"/>
      <w:r>
        <w:rPr>
          <w:rFonts w:ascii="Arial" w:hAnsi="Arial" w:cs="Arial"/>
          <w:b/>
          <w:sz w:val="22"/>
          <w:szCs w:val="22"/>
        </w:rPr>
        <w:t xml:space="preserve"> 816, 817 (bytový dům) postavená na pozemku </w:t>
      </w:r>
      <w:proofErr w:type="spellStart"/>
      <w:r>
        <w:rPr>
          <w:rFonts w:ascii="Arial" w:hAnsi="Arial" w:cs="Arial"/>
          <w:b/>
          <w:sz w:val="22"/>
          <w:szCs w:val="22"/>
        </w:rPr>
        <w:t>parc.č</w:t>
      </w:r>
      <w:proofErr w:type="spellEnd"/>
      <w:r>
        <w:rPr>
          <w:rFonts w:ascii="Arial" w:hAnsi="Arial" w:cs="Arial"/>
          <w:b/>
          <w:sz w:val="22"/>
          <w:szCs w:val="22"/>
        </w:rPr>
        <w:t xml:space="preserve">. 942/122 a </w:t>
      </w:r>
      <w:proofErr w:type="spellStart"/>
      <w:r>
        <w:rPr>
          <w:rFonts w:ascii="Arial" w:hAnsi="Arial" w:cs="Arial"/>
          <w:b/>
          <w:sz w:val="22"/>
          <w:szCs w:val="22"/>
        </w:rPr>
        <w:t>parc</w:t>
      </w:r>
      <w:proofErr w:type="spellEnd"/>
      <w:r>
        <w:rPr>
          <w:rFonts w:ascii="Arial" w:hAnsi="Arial" w:cs="Arial"/>
          <w:b/>
          <w:sz w:val="22"/>
          <w:szCs w:val="22"/>
        </w:rPr>
        <w:t xml:space="preserve">. č. 942/123 se spoluvlastnickým podílem 453/20919 na společných částech budovy č.p. 816, 817 postavené na pozemku </w:t>
      </w:r>
      <w:proofErr w:type="spellStart"/>
      <w:r>
        <w:rPr>
          <w:rFonts w:ascii="Arial" w:hAnsi="Arial" w:cs="Arial"/>
          <w:b/>
          <w:sz w:val="22"/>
          <w:szCs w:val="22"/>
        </w:rPr>
        <w:t>parc.č</w:t>
      </w:r>
      <w:proofErr w:type="spellEnd"/>
      <w:r>
        <w:rPr>
          <w:rFonts w:ascii="Arial" w:hAnsi="Arial" w:cs="Arial"/>
          <w:b/>
          <w:sz w:val="22"/>
          <w:szCs w:val="22"/>
        </w:rPr>
        <w:t xml:space="preserve">. 942/122 a </w:t>
      </w:r>
      <w:proofErr w:type="spellStart"/>
      <w:r>
        <w:rPr>
          <w:rFonts w:ascii="Arial" w:hAnsi="Arial" w:cs="Arial"/>
          <w:b/>
          <w:sz w:val="22"/>
          <w:szCs w:val="22"/>
        </w:rPr>
        <w:t>parc.č</w:t>
      </w:r>
      <w:proofErr w:type="spellEnd"/>
      <w:r>
        <w:rPr>
          <w:rFonts w:ascii="Arial" w:hAnsi="Arial" w:cs="Arial"/>
          <w:b/>
          <w:sz w:val="22"/>
          <w:szCs w:val="22"/>
        </w:rPr>
        <w:t xml:space="preserve">. 942/123 a se spoluvlastnickým podílem 453/20919 na pozemku </w:t>
      </w:r>
      <w:proofErr w:type="spellStart"/>
      <w:r>
        <w:rPr>
          <w:rFonts w:ascii="Arial" w:hAnsi="Arial" w:cs="Arial"/>
          <w:b/>
          <w:sz w:val="22"/>
          <w:szCs w:val="22"/>
        </w:rPr>
        <w:t>parc.č</w:t>
      </w:r>
      <w:proofErr w:type="spellEnd"/>
      <w:r>
        <w:rPr>
          <w:rFonts w:ascii="Arial" w:hAnsi="Arial" w:cs="Arial"/>
          <w:b/>
          <w:sz w:val="22"/>
          <w:szCs w:val="22"/>
        </w:rPr>
        <w:t xml:space="preserve">. 942/122 (zastavěná plocha a nádvoří) a se spoluvlastnickým podílem  453/20919 na pozemku </w:t>
      </w:r>
      <w:proofErr w:type="spellStart"/>
      <w:r>
        <w:rPr>
          <w:rFonts w:ascii="Arial" w:hAnsi="Arial" w:cs="Arial"/>
          <w:b/>
          <w:sz w:val="22"/>
          <w:szCs w:val="22"/>
        </w:rPr>
        <w:t>parc.č</w:t>
      </w:r>
      <w:proofErr w:type="spellEnd"/>
      <w:r>
        <w:rPr>
          <w:rFonts w:ascii="Arial" w:hAnsi="Arial" w:cs="Arial"/>
          <w:b/>
          <w:sz w:val="22"/>
          <w:szCs w:val="22"/>
        </w:rPr>
        <w:t>. 942/123 (zastavěná plocha a nádvoří), vše zapsáno na LV č. 5061 a č. 4948 pro katastrální území Hlubočepy, obec Praha, v katastru nemovitostí vedeném Katastrálním úřadem pro hlavní město Prahu, Katastrální pracoviště Praha,</w:t>
      </w:r>
      <w:r>
        <w:rPr>
          <w:rFonts w:ascii="Arial" w:hAnsi="Arial" w:cs="Arial"/>
          <w:sz w:val="22"/>
          <w:szCs w:val="22"/>
        </w:rPr>
        <w:t xml:space="preserve"> (dále jen „převáděný majetek“). </w:t>
      </w:r>
    </w:p>
    <w:p w:rsidR="00180243" w:rsidRDefault="00180243" w:rsidP="00180243">
      <w:pPr>
        <w:tabs>
          <w:tab w:val="center" w:pos="4536"/>
          <w:tab w:val="left" w:pos="5222"/>
        </w:tabs>
        <w:spacing w:before="60"/>
        <w:jc w:val="both"/>
        <w:rPr>
          <w:rFonts w:ascii="Arial" w:hAnsi="Arial" w:cs="Arial"/>
          <w:b/>
          <w:sz w:val="22"/>
          <w:szCs w:val="22"/>
        </w:rPr>
      </w:pPr>
    </w:p>
    <w:p w:rsidR="00180243" w:rsidRDefault="00180243" w:rsidP="00180243">
      <w:pPr>
        <w:numPr>
          <w:ilvl w:val="0"/>
          <w:numId w:val="1"/>
        </w:numPr>
        <w:tabs>
          <w:tab w:val="clear" w:pos="360"/>
          <w:tab w:val="left" w:pos="426"/>
        </w:tabs>
        <w:spacing w:before="60"/>
        <w:ind w:left="426" w:hanging="429"/>
        <w:jc w:val="both"/>
        <w:rPr>
          <w:rFonts w:ascii="Arial" w:hAnsi="Arial" w:cs="Arial"/>
          <w:bCs/>
          <w:i/>
          <w:sz w:val="22"/>
          <w:szCs w:val="22"/>
          <w:u w:val="single"/>
        </w:rPr>
      </w:pPr>
      <w:r>
        <w:rPr>
          <w:rFonts w:ascii="Arial" w:hAnsi="Arial" w:cs="Arial"/>
          <w:sz w:val="22"/>
          <w:szCs w:val="22"/>
        </w:rPr>
        <w:t xml:space="preserve">Úřad pro zastupování státu ve věcech majetkových je na základě usnesení Obvodního soudu pro Prahu 5 </w:t>
      </w:r>
      <w:proofErr w:type="spellStart"/>
      <w:r>
        <w:rPr>
          <w:rFonts w:ascii="Arial" w:hAnsi="Arial" w:cs="Arial"/>
          <w:sz w:val="22"/>
          <w:szCs w:val="22"/>
        </w:rPr>
        <w:t>sp</w:t>
      </w:r>
      <w:proofErr w:type="spellEnd"/>
      <w:r>
        <w:rPr>
          <w:rFonts w:ascii="Arial" w:hAnsi="Arial" w:cs="Arial"/>
          <w:sz w:val="22"/>
          <w:szCs w:val="22"/>
        </w:rPr>
        <w:t xml:space="preserve">. zn. 32 D 341/2015 ze dne 2. 12. 2015, které nabylo právní moci dne </w:t>
      </w:r>
      <w:r>
        <w:rPr>
          <w:rFonts w:ascii="Arial" w:hAnsi="Arial" w:cs="Arial"/>
          <w:sz w:val="22"/>
          <w:szCs w:val="22"/>
        </w:rPr>
        <w:br/>
      </w:r>
      <w:r>
        <w:rPr>
          <w:rFonts w:ascii="Arial" w:hAnsi="Arial" w:cs="Arial"/>
          <w:sz w:val="22"/>
          <w:szCs w:val="22"/>
        </w:rPr>
        <w:lastRenderedPageBreak/>
        <w:t xml:space="preserve">2. 12. 2015, ve věci dědictví po zemřelé Miladě Peškové, příslušný s převáděným majetkem hospodařit, a to ve smyslu § 11 zákona č. 219/2000 Sb. </w:t>
      </w:r>
    </w:p>
    <w:p w:rsidR="00180243" w:rsidRDefault="00180243" w:rsidP="00180243">
      <w:pPr>
        <w:ind w:left="426" w:hanging="429"/>
        <w:jc w:val="both"/>
        <w:rPr>
          <w:rFonts w:ascii="Arial" w:hAnsi="Arial" w:cs="Arial"/>
          <w:b/>
          <w:sz w:val="22"/>
          <w:szCs w:val="22"/>
        </w:rPr>
      </w:pPr>
    </w:p>
    <w:p w:rsidR="00180243" w:rsidRDefault="00180243" w:rsidP="00180243">
      <w:pPr>
        <w:numPr>
          <w:ilvl w:val="0"/>
          <w:numId w:val="1"/>
        </w:numPr>
        <w:ind w:left="426" w:hanging="429"/>
        <w:jc w:val="both"/>
        <w:rPr>
          <w:rFonts w:ascii="Arial" w:hAnsi="Arial" w:cs="Arial"/>
          <w:sz w:val="22"/>
          <w:szCs w:val="22"/>
        </w:rPr>
      </w:pPr>
      <w:r>
        <w:rPr>
          <w:rFonts w:ascii="Arial" w:hAnsi="Arial" w:cs="Arial"/>
          <w:sz w:val="22"/>
          <w:szCs w:val="22"/>
        </w:rPr>
        <w:t>Tato kupní smlouva je uzavírána na základě výsledků výběrového řízení, které vyhlásil prodávající.</w:t>
      </w:r>
    </w:p>
    <w:p w:rsidR="00180243" w:rsidRDefault="00180243" w:rsidP="00180243">
      <w:pPr>
        <w:ind w:left="357"/>
        <w:jc w:val="center"/>
        <w:rPr>
          <w:rFonts w:ascii="Arial" w:hAnsi="Arial" w:cs="Arial"/>
          <w:sz w:val="22"/>
          <w:szCs w:val="22"/>
        </w:rPr>
      </w:pPr>
    </w:p>
    <w:p w:rsidR="00180243" w:rsidRDefault="00180243" w:rsidP="00180243">
      <w:pPr>
        <w:tabs>
          <w:tab w:val="num" w:pos="720"/>
        </w:tabs>
        <w:ind w:left="357"/>
        <w:jc w:val="center"/>
        <w:rPr>
          <w:rFonts w:ascii="Arial" w:hAnsi="Arial" w:cs="Arial"/>
          <w:sz w:val="22"/>
          <w:szCs w:val="22"/>
        </w:rPr>
      </w:pPr>
    </w:p>
    <w:p w:rsidR="00180243" w:rsidRDefault="00180243" w:rsidP="00180243">
      <w:pPr>
        <w:ind w:left="357"/>
        <w:jc w:val="center"/>
        <w:rPr>
          <w:rFonts w:ascii="Arial" w:hAnsi="Arial" w:cs="Arial"/>
          <w:b/>
          <w:sz w:val="22"/>
          <w:szCs w:val="22"/>
        </w:rPr>
      </w:pPr>
      <w:r>
        <w:rPr>
          <w:rFonts w:ascii="Arial" w:hAnsi="Arial" w:cs="Arial"/>
          <w:b/>
          <w:sz w:val="22"/>
          <w:szCs w:val="22"/>
        </w:rPr>
        <w:t>Čl. II.</w:t>
      </w:r>
    </w:p>
    <w:p w:rsidR="00180243" w:rsidRDefault="00180243" w:rsidP="00180243">
      <w:pPr>
        <w:tabs>
          <w:tab w:val="center" w:pos="4536"/>
          <w:tab w:val="left" w:pos="5222"/>
        </w:tabs>
        <w:spacing w:before="60"/>
        <w:ind w:left="357"/>
        <w:jc w:val="both"/>
        <w:rPr>
          <w:rFonts w:ascii="Arial" w:hAnsi="Arial" w:cs="Arial"/>
          <w:bCs/>
          <w:i/>
          <w:sz w:val="22"/>
          <w:szCs w:val="22"/>
          <w:u w:val="single"/>
        </w:rPr>
      </w:pPr>
    </w:p>
    <w:p w:rsidR="00180243" w:rsidRDefault="00180243" w:rsidP="00180243">
      <w:pPr>
        <w:numPr>
          <w:ilvl w:val="0"/>
          <w:numId w:val="2"/>
        </w:numPr>
        <w:ind w:left="426" w:hanging="426"/>
        <w:jc w:val="both"/>
        <w:rPr>
          <w:rFonts w:ascii="Arial" w:hAnsi="Arial" w:cs="Arial"/>
          <w:sz w:val="22"/>
          <w:szCs w:val="22"/>
        </w:rPr>
      </w:pPr>
      <w:r>
        <w:rPr>
          <w:rFonts w:ascii="Arial" w:hAnsi="Arial" w:cs="Arial"/>
          <w:sz w:val="22"/>
          <w:szCs w:val="22"/>
        </w:rPr>
        <w:t>Prodávající převádí touto smlouvou kupujícímu vlastnické právo k převáděnému majetku se všemi součástmi a příslušenstvím (lodžie, sklepní kóje), právy a povinnostmi, a to za kupní cenu stanovenou v Čl. II. odst. 2. této smlouvy. Kupující toto právo za kupní cenu uvedenou v Čl. II. odst. 2. této smlouvy přijímá.</w:t>
      </w:r>
    </w:p>
    <w:p w:rsidR="00180243" w:rsidRDefault="00180243" w:rsidP="00180243">
      <w:pPr>
        <w:ind w:left="426" w:hanging="426"/>
        <w:jc w:val="both"/>
        <w:rPr>
          <w:rFonts w:ascii="Arial" w:hAnsi="Arial" w:cs="Arial"/>
          <w:sz w:val="22"/>
          <w:szCs w:val="22"/>
        </w:rPr>
      </w:pPr>
    </w:p>
    <w:p w:rsidR="00180243" w:rsidRDefault="00180243" w:rsidP="00180243">
      <w:pPr>
        <w:numPr>
          <w:ilvl w:val="0"/>
          <w:numId w:val="2"/>
        </w:numPr>
        <w:ind w:left="426" w:hanging="426"/>
        <w:jc w:val="both"/>
        <w:rPr>
          <w:rFonts w:ascii="Arial" w:hAnsi="Arial" w:cs="Arial"/>
          <w:sz w:val="22"/>
          <w:szCs w:val="22"/>
        </w:rPr>
      </w:pPr>
      <w:r>
        <w:rPr>
          <w:rFonts w:ascii="Arial" w:hAnsi="Arial" w:cs="Arial"/>
          <w:sz w:val="22"/>
          <w:szCs w:val="22"/>
        </w:rPr>
        <w:t xml:space="preserve">Kupní cena za převáděný majetek, ve </w:t>
      </w:r>
      <w:r w:rsidR="00E2240F">
        <w:rPr>
          <w:rFonts w:ascii="Arial" w:hAnsi="Arial" w:cs="Arial"/>
          <w:sz w:val="22"/>
          <w:szCs w:val="22"/>
        </w:rPr>
        <w:t xml:space="preserve">smyslu odst. 1. tohoto článku, </w:t>
      </w:r>
      <w:proofErr w:type="gramStart"/>
      <w:r w:rsidR="00E2240F">
        <w:rPr>
          <w:rFonts w:ascii="Arial" w:hAnsi="Arial" w:cs="Arial"/>
          <w:sz w:val="22"/>
          <w:szCs w:val="22"/>
        </w:rPr>
        <w:t>č</w:t>
      </w:r>
      <w:r>
        <w:rPr>
          <w:rFonts w:ascii="Arial" w:hAnsi="Arial" w:cs="Arial"/>
          <w:sz w:val="22"/>
          <w:szCs w:val="22"/>
        </w:rPr>
        <w:t xml:space="preserve">iní  </w:t>
      </w:r>
      <w:r w:rsidR="00904AFF">
        <w:rPr>
          <w:rFonts w:ascii="Arial" w:hAnsi="Arial"/>
          <w:sz w:val="22"/>
          <w:szCs w:val="20"/>
        </w:rPr>
        <w:t>2 690 000,00</w:t>
      </w:r>
      <w:proofErr w:type="gramEnd"/>
      <w:r w:rsidR="00904AFF">
        <w:rPr>
          <w:rFonts w:ascii="Arial" w:hAnsi="Arial"/>
          <w:sz w:val="22"/>
          <w:szCs w:val="20"/>
        </w:rPr>
        <w:t xml:space="preserve"> </w:t>
      </w:r>
      <w:r>
        <w:rPr>
          <w:rFonts w:ascii="Arial" w:hAnsi="Arial" w:cs="Arial"/>
          <w:sz w:val="22"/>
          <w:szCs w:val="22"/>
        </w:rPr>
        <w:t xml:space="preserve">Kč (slovy: </w:t>
      </w:r>
      <w:proofErr w:type="spellStart"/>
      <w:r w:rsidR="00904AFF">
        <w:rPr>
          <w:rFonts w:ascii="Arial" w:hAnsi="Arial"/>
          <w:sz w:val="22"/>
          <w:szCs w:val="20"/>
        </w:rPr>
        <w:t>dvamilionyšestsetdevadesát</w:t>
      </w:r>
      <w:proofErr w:type="spellEnd"/>
      <w:r>
        <w:rPr>
          <w:rFonts w:ascii="Arial" w:hAnsi="Arial" w:cs="Arial"/>
          <w:sz w:val="22"/>
          <w:szCs w:val="22"/>
        </w:rPr>
        <w:t xml:space="preserve"> korun českých).</w:t>
      </w:r>
    </w:p>
    <w:p w:rsidR="00180243" w:rsidRDefault="00180243" w:rsidP="00180243">
      <w:pPr>
        <w:ind w:left="426" w:hanging="426"/>
        <w:jc w:val="center"/>
        <w:rPr>
          <w:rFonts w:ascii="Arial" w:hAnsi="Arial" w:cs="Arial"/>
          <w:sz w:val="22"/>
          <w:szCs w:val="22"/>
        </w:rPr>
      </w:pPr>
    </w:p>
    <w:p w:rsidR="00180243" w:rsidRDefault="00180243" w:rsidP="00180243">
      <w:pPr>
        <w:ind w:left="426" w:hanging="426"/>
        <w:jc w:val="center"/>
        <w:rPr>
          <w:rFonts w:ascii="Arial" w:hAnsi="Arial" w:cs="Arial"/>
          <w:sz w:val="22"/>
          <w:szCs w:val="22"/>
        </w:rPr>
      </w:pPr>
    </w:p>
    <w:p w:rsidR="00180243" w:rsidRDefault="00180243" w:rsidP="00180243">
      <w:pPr>
        <w:ind w:left="426" w:hanging="426"/>
        <w:jc w:val="center"/>
        <w:rPr>
          <w:rFonts w:ascii="Arial" w:hAnsi="Arial" w:cs="Arial"/>
          <w:sz w:val="22"/>
          <w:szCs w:val="22"/>
        </w:rPr>
      </w:pPr>
    </w:p>
    <w:p w:rsidR="00180243" w:rsidRDefault="00180243" w:rsidP="00180243">
      <w:pPr>
        <w:ind w:left="426" w:hanging="426"/>
        <w:jc w:val="center"/>
        <w:rPr>
          <w:rFonts w:ascii="Arial" w:hAnsi="Arial" w:cs="Arial"/>
          <w:sz w:val="22"/>
          <w:szCs w:val="22"/>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III.</w:t>
      </w:r>
    </w:p>
    <w:p w:rsidR="00180243" w:rsidRDefault="00180243" w:rsidP="00180243">
      <w:pPr>
        <w:ind w:firstLine="426"/>
        <w:rPr>
          <w:rFonts w:ascii="Arial" w:hAnsi="Arial" w:cs="Arial"/>
          <w:sz w:val="22"/>
          <w:szCs w:val="22"/>
        </w:rPr>
      </w:pPr>
    </w:p>
    <w:p w:rsidR="00180243" w:rsidRDefault="00180243" w:rsidP="00180243">
      <w:pPr>
        <w:numPr>
          <w:ilvl w:val="0"/>
          <w:numId w:val="3"/>
        </w:numPr>
        <w:ind w:left="426" w:hanging="426"/>
        <w:jc w:val="both"/>
        <w:rPr>
          <w:rFonts w:ascii="Arial" w:hAnsi="Arial" w:cs="Arial"/>
          <w:i/>
          <w:color w:val="7030A0"/>
          <w:sz w:val="22"/>
          <w:szCs w:val="22"/>
        </w:rPr>
      </w:pPr>
      <w:r>
        <w:rPr>
          <w:rFonts w:ascii="Arial" w:hAnsi="Arial" w:cs="Arial"/>
          <w:sz w:val="22"/>
          <w:szCs w:val="22"/>
        </w:rPr>
        <w:t>Smluvní strany se dohodly, že na úhradu kupní ceny stanovené v Čl. II. odst. 2. bude použita částka ve výši</w:t>
      </w:r>
      <w:r w:rsidR="00904AFF">
        <w:rPr>
          <w:rFonts w:ascii="Arial" w:hAnsi="Arial" w:cs="Arial"/>
          <w:sz w:val="22"/>
          <w:szCs w:val="22"/>
        </w:rPr>
        <w:t xml:space="preserve"> 210 245,00 </w:t>
      </w:r>
      <w:r>
        <w:rPr>
          <w:rFonts w:ascii="Arial" w:hAnsi="Arial" w:cs="Arial"/>
          <w:sz w:val="22"/>
          <w:szCs w:val="22"/>
        </w:rPr>
        <w:t>Kč, kterou složil</w:t>
      </w:r>
      <w:r>
        <w:rPr>
          <w:rFonts w:ascii="Arial" w:hAnsi="Arial" w:cs="Arial"/>
          <w:i/>
          <w:sz w:val="22"/>
          <w:szCs w:val="22"/>
        </w:rPr>
        <w:t xml:space="preserve"> </w:t>
      </w:r>
      <w:r>
        <w:rPr>
          <w:rFonts w:ascii="Arial" w:hAnsi="Arial" w:cs="Arial"/>
          <w:sz w:val="22"/>
          <w:szCs w:val="22"/>
        </w:rPr>
        <w:t xml:space="preserve">kupující ve výběrovém řízení na účet prodávajícího </w:t>
      </w:r>
      <w:proofErr w:type="spellStart"/>
      <w:r w:rsidR="0054284B">
        <w:rPr>
          <w:rFonts w:ascii="Arial" w:hAnsi="Arial" w:cs="Arial"/>
          <w:sz w:val="22"/>
          <w:szCs w:val="22"/>
        </w:rPr>
        <w:t>xxxxxxxxxxxxxxxxxxxxxx</w:t>
      </w:r>
      <w:proofErr w:type="spellEnd"/>
      <w:r>
        <w:rPr>
          <w:rFonts w:ascii="Arial" w:hAnsi="Arial" w:cs="Arial"/>
          <w:sz w:val="22"/>
          <w:szCs w:val="22"/>
        </w:rPr>
        <w:t xml:space="preserve">.  Zbývající část kupní ceny ve  výši  </w:t>
      </w:r>
      <w:r w:rsidR="00690093">
        <w:rPr>
          <w:rFonts w:ascii="Arial" w:hAnsi="Arial" w:cs="Arial"/>
          <w:sz w:val="22"/>
          <w:szCs w:val="22"/>
        </w:rPr>
        <w:t>2 479 755,00 Kč</w:t>
      </w:r>
      <w:r>
        <w:rPr>
          <w:rFonts w:ascii="Arial" w:hAnsi="Arial" w:cs="Arial"/>
          <w:sz w:val="22"/>
          <w:szCs w:val="22"/>
        </w:rPr>
        <w:t xml:space="preserve"> zaplatí kupující na účet prodávajícího vedený u České národní banky se sídlem v Praze, číslo účtu </w:t>
      </w:r>
      <w:proofErr w:type="spellStart"/>
      <w:r w:rsidR="0054284B">
        <w:rPr>
          <w:rFonts w:ascii="Arial" w:hAnsi="Arial" w:cs="Arial"/>
          <w:sz w:val="22"/>
          <w:szCs w:val="22"/>
        </w:rPr>
        <w:t>xxxxxxxxxxxxxxxxxxxxxxxxxx</w:t>
      </w:r>
      <w:proofErr w:type="spellEnd"/>
      <w:r>
        <w:rPr>
          <w:rFonts w:ascii="Arial" w:hAnsi="Arial" w:cs="Arial"/>
          <w:sz w:val="22"/>
          <w:szCs w:val="22"/>
        </w:rPr>
        <w:t xml:space="preserve">, a to ve lhůtě, která mu bude oznámena ve výzvě prodávajícího k zaplacení kupní ceny, přičemž tato lhůta nebude kratší než </w:t>
      </w:r>
      <w:r>
        <w:rPr>
          <w:rFonts w:ascii="Arial" w:hAnsi="Arial"/>
          <w:sz w:val="22"/>
        </w:rPr>
        <w:t>30 dnů ode dne odeslání výzvy k </w:t>
      </w:r>
      <w:proofErr w:type="gramStart"/>
      <w:r>
        <w:rPr>
          <w:rFonts w:ascii="Arial" w:hAnsi="Arial"/>
          <w:sz w:val="22"/>
        </w:rPr>
        <w:t>úhradě,  a zároveň</w:t>
      </w:r>
      <w:proofErr w:type="gramEnd"/>
      <w:r>
        <w:rPr>
          <w:rFonts w:ascii="Arial" w:hAnsi="Arial"/>
          <w:sz w:val="22"/>
        </w:rPr>
        <w:t xml:space="preserve"> bude tato výzva zaslána kupujícímu do</w:t>
      </w:r>
      <w:r w:rsidR="00F679B5">
        <w:rPr>
          <w:rFonts w:ascii="Arial" w:hAnsi="Arial"/>
          <w:sz w:val="22"/>
        </w:rPr>
        <w:t xml:space="preserve"> patnácti </w:t>
      </w:r>
      <w:r>
        <w:rPr>
          <w:rFonts w:ascii="Arial" w:hAnsi="Arial"/>
          <w:sz w:val="22"/>
        </w:rPr>
        <w:t xml:space="preserve">dnů ode dne, kdy tato kupní smlouva opatřená schválením převodu příslušným ministerstvem bude doručena prodávajícímu.  </w:t>
      </w:r>
      <w:r>
        <w:rPr>
          <w:rFonts w:ascii="Arial" w:hAnsi="Arial" w:cs="Arial"/>
          <w:sz w:val="22"/>
          <w:szCs w:val="22"/>
        </w:rPr>
        <w:t xml:space="preserve"> </w:t>
      </w:r>
    </w:p>
    <w:p w:rsidR="00180243" w:rsidRDefault="00180243" w:rsidP="00F679B5">
      <w:pPr>
        <w:overflowPunct w:val="0"/>
        <w:autoSpaceDE w:val="0"/>
        <w:autoSpaceDN w:val="0"/>
        <w:adjustRightInd w:val="0"/>
        <w:ind w:left="426" w:hanging="426"/>
        <w:jc w:val="both"/>
        <w:textAlignment w:val="baseline"/>
        <w:rPr>
          <w:rFonts w:ascii="Arial" w:hAnsi="Arial" w:cs="Arial"/>
          <w:i/>
          <w:sz w:val="22"/>
          <w:szCs w:val="22"/>
          <w:u w:val="single"/>
        </w:rPr>
      </w:pPr>
      <w:r>
        <w:rPr>
          <w:rFonts w:ascii="Arial" w:hAnsi="Arial" w:cs="Arial"/>
          <w:b/>
          <w:i/>
          <w:sz w:val="22"/>
          <w:szCs w:val="22"/>
        </w:rPr>
        <w:tab/>
      </w:r>
    </w:p>
    <w:p w:rsidR="00180243" w:rsidRDefault="00180243" w:rsidP="00180243">
      <w:pPr>
        <w:numPr>
          <w:ilvl w:val="0"/>
          <w:numId w:val="3"/>
        </w:numPr>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 xml:space="preserve">Neuhradí-li kupující celou kupní cenu ve lhůtě, stanovené touto smlouvou, je kupující povinen zaplatit smluvní pokutu ve výši 0,1% z celkové kupní ceny za každý den prodlení. </w:t>
      </w:r>
    </w:p>
    <w:p w:rsidR="00180243" w:rsidRDefault="00180243" w:rsidP="00180243">
      <w:pPr>
        <w:tabs>
          <w:tab w:val="num" w:pos="720"/>
        </w:tabs>
        <w:overflowPunct w:val="0"/>
        <w:autoSpaceDE w:val="0"/>
        <w:autoSpaceDN w:val="0"/>
        <w:adjustRightInd w:val="0"/>
        <w:ind w:left="284" w:firstLine="142"/>
        <w:jc w:val="both"/>
        <w:textAlignment w:val="baseline"/>
        <w:rPr>
          <w:rFonts w:ascii="Arial" w:hAnsi="Arial" w:cs="Arial"/>
          <w:sz w:val="22"/>
          <w:szCs w:val="22"/>
        </w:rPr>
      </w:pPr>
    </w:p>
    <w:p w:rsidR="00180243" w:rsidRDefault="00180243" w:rsidP="00180243">
      <w:pPr>
        <w:numPr>
          <w:ilvl w:val="0"/>
          <w:numId w:val="3"/>
        </w:numPr>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V případě prodlení s úhradou kupní ceny je kupující povinen zaplatit, kromě smluvní pokuty dle předchozího odstavce, i úroky z prodlení dle platné právní úpravy.</w:t>
      </w:r>
    </w:p>
    <w:p w:rsidR="00180243" w:rsidRDefault="00180243" w:rsidP="00180243">
      <w:pPr>
        <w:ind w:left="284" w:firstLine="142"/>
        <w:contextualSpacing/>
        <w:rPr>
          <w:rFonts w:ascii="Arial" w:hAnsi="Arial" w:cs="Arial"/>
          <w:sz w:val="22"/>
          <w:szCs w:val="22"/>
        </w:rPr>
      </w:pPr>
    </w:p>
    <w:p w:rsidR="00180243" w:rsidRDefault="00180243" w:rsidP="00180243">
      <w:pPr>
        <w:numPr>
          <w:ilvl w:val="0"/>
          <w:numId w:val="3"/>
        </w:numPr>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Pokud kupující v prohlášeních podle Čl. V. odst. 1. a 2. uvede nepravdivé skutečnosti o svých dluzích vůči státu a své způsobilosti nabýt převáděný majetek, má prodávající právo požadovat na kupujícím úhradu smluvní pokuty ve výši 10 % z kupní ceny.</w:t>
      </w:r>
    </w:p>
    <w:p w:rsidR="00180243" w:rsidRDefault="00180243" w:rsidP="00180243">
      <w:pPr>
        <w:ind w:left="284"/>
        <w:contextualSpacing/>
        <w:jc w:val="both"/>
        <w:rPr>
          <w:rFonts w:ascii="Arial" w:hAnsi="Arial" w:cs="Arial"/>
          <w:sz w:val="22"/>
          <w:szCs w:val="22"/>
        </w:rPr>
      </w:pPr>
    </w:p>
    <w:p w:rsidR="00180243" w:rsidRDefault="00180243" w:rsidP="00180243">
      <w:pPr>
        <w:numPr>
          <w:ilvl w:val="0"/>
          <w:numId w:val="3"/>
        </w:numPr>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 xml:space="preserve">Pokuty podle odst. 2. a 4. jsou splatné do </w:t>
      </w:r>
      <w:r w:rsidR="00F679B5">
        <w:rPr>
          <w:rFonts w:ascii="Arial" w:hAnsi="Arial" w:cs="Arial"/>
          <w:sz w:val="22"/>
          <w:szCs w:val="22"/>
        </w:rPr>
        <w:t>třiceti</w:t>
      </w:r>
      <w:r>
        <w:rPr>
          <w:rFonts w:ascii="Arial" w:hAnsi="Arial" w:cs="Arial"/>
          <w:sz w:val="22"/>
          <w:szCs w:val="22"/>
        </w:rPr>
        <w:t xml:space="preserve"> dnů ode dne doručení výzvy </w:t>
      </w:r>
      <w:r>
        <w:rPr>
          <w:rFonts w:ascii="Arial" w:hAnsi="Arial" w:cs="Arial"/>
          <w:sz w:val="22"/>
          <w:szCs w:val="22"/>
        </w:rPr>
        <w:br/>
        <w:t xml:space="preserve">k jejich zaplacení na účet prodávajícího č. </w:t>
      </w:r>
      <w:proofErr w:type="spellStart"/>
      <w:r w:rsidR="0054284B">
        <w:rPr>
          <w:rFonts w:ascii="Arial" w:hAnsi="Arial" w:cs="Arial"/>
          <w:sz w:val="22"/>
          <w:szCs w:val="22"/>
        </w:rPr>
        <w:t>xxxxxxxxxxxxxxxxxxxxx</w:t>
      </w:r>
      <w:proofErr w:type="spellEnd"/>
    </w:p>
    <w:p w:rsidR="00180243" w:rsidRDefault="00180243" w:rsidP="00180243">
      <w:pPr>
        <w:ind w:left="284"/>
        <w:contextualSpacing/>
        <w:jc w:val="both"/>
        <w:rPr>
          <w:rFonts w:ascii="Arial" w:hAnsi="Arial" w:cs="Arial"/>
          <w:sz w:val="22"/>
          <w:szCs w:val="22"/>
        </w:rPr>
      </w:pPr>
    </w:p>
    <w:p w:rsidR="00180243" w:rsidRDefault="00180243" w:rsidP="00180243">
      <w:pPr>
        <w:numPr>
          <w:ilvl w:val="0"/>
          <w:numId w:val="3"/>
        </w:numPr>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180243" w:rsidRDefault="00180243" w:rsidP="00180243">
      <w:pPr>
        <w:ind w:left="426" w:hanging="426"/>
        <w:contextualSpacing/>
        <w:jc w:val="center"/>
        <w:rPr>
          <w:rFonts w:ascii="Arial" w:hAnsi="Arial" w:cs="Arial"/>
          <w:b/>
          <w:sz w:val="22"/>
          <w:szCs w:val="22"/>
        </w:rPr>
      </w:pPr>
    </w:p>
    <w:p w:rsidR="00180243" w:rsidRDefault="00180243" w:rsidP="00180243">
      <w:pPr>
        <w:keepNext/>
        <w:outlineLvl w:val="0"/>
        <w:rPr>
          <w:rFonts w:ascii="Arial" w:hAnsi="Arial" w:cs="Arial"/>
          <w:b/>
          <w:sz w:val="2"/>
          <w:szCs w:val="2"/>
        </w:rPr>
      </w:pPr>
    </w:p>
    <w:p w:rsidR="00180243" w:rsidRDefault="00180243" w:rsidP="00180243">
      <w:pPr>
        <w:keepNext/>
        <w:outlineLvl w:val="0"/>
        <w:rPr>
          <w:rFonts w:ascii="Arial" w:hAnsi="Arial" w:cs="Arial"/>
          <w:b/>
          <w:sz w:val="2"/>
          <w:szCs w:val="2"/>
        </w:rPr>
      </w:pPr>
    </w:p>
    <w:p w:rsidR="00180243" w:rsidRDefault="00180243" w:rsidP="00180243">
      <w:pPr>
        <w:keepNext/>
        <w:outlineLvl w:val="0"/>
        <w:rPr>
          <w:rFonts w:ascii="Arial" w:hAnsi="Arial" w:cs="Arial"/>
          <w:b/>
          <w:sz w:val="2"/>
          <w:szCs w:val="2"/>
        </w:rPr>
      </w:pPr>
    </w:p>
    <w:p w:rsidR="00180243" w:rsidRDefault="00180243" w:rsidP="00180243">
      <w:pPr>
        <w:keepNext/>
        <w:outlineLvl w:val="0"/>
        <w:rPr>
          <w:rFonts w:ascii="Arial" w:hAnsi="Arial" w:cs="Arial"/>
          <w:b/>
          <w:sz w:val="2"/>
          <w:szCs w:val="2"/>
        </w:rPr>
      </w:pPr>
    </w:p>
    <w:p w:rsidR="00180243" w:rsidRDefault="00180243" w:rsidP="00180243">
      <w:pPr>
        <w:keepNext/>
        <w:outlineLvl w:val="0"/>
        <w:rPr>
          <w:rFonts w:ascii="Arial" w:hAnsi="Arial" w:cs="Arial"/>
          <w:b/>
          <w:sz w:val="2"/>
          <w:szCs w:val="2"/>
        </w:rPr>
      </w:pPr>
    </w:p>
    <w:p w:rsidR="00180243" w:rsidRDefault="00180243" w:rsidP="00180243">
      <w:pPr>
        <w:keepNext/>
        <w:jc w:val="center"/>
        <w:outlineLvl w:val="0"/>
        <w:rPr>
          <w:rFonts w:ascii="Arial" w:hAnsi="Arial" w:cs="Arial"/>
          <w:b/>
          <w:sz w:val="2"/>
          <w:szCs w:val="2"/>
        </w:rPr>
      </w:pPr>
    </w:p>
    <w:p w:rsidR="00180243" w:rsidRDefault="00180243" w:rsidP="00180243">
      <w:pPr>
        <w:keepNext/>
        <w:outlineLvl w:val="0"/>
        <w:rPr>
          <w:rFonts w:ascii="Arial" w:hAnsi="Arial" w:cs="Arial"/>
          <w:b/>
          <w:sz w:val="10"/>
          <w:szCs w:val="10"/>
        </w:rPr>
      </w:pPr>
    </w:p>
    <w:p w:rsidR="00180243" w:rsidRDefault="00180243" w:rsidP="00180243">
      <w:pPr>
        <w:keepNext/>
        <w:outlineLvl w:val="0"/>
        <w:rPr>
          <w:rFonts w:ascii="Arial" w:hAnsi="Arial" w:cs="Arial"/>
          <w:b/>
          <w:sz w:val="10"/>
          <w:szCs w:val="10"/>
        </w:rPr>
      </w:pPr>
    </w:p>
    <w:p w:rsidR="00180243" w:rsidRDefault="00180243" w:rsidP="00180243">
      <w:pPr>
        <w:keepNext/>
        <w:outlineLvl w:val="0"/>
        <w:rPr>
          <w:rFonts w:ascii="Arial" w:hAnsi="Arial" w:cs="Arial"/>
          <w:b/>
          <w:sz w:val="10"/>
          <w:szCs w:val="10"/>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IV.</w:t>
      </w:r>
    </w:p>
    <w:p w:rsidR="00180243" w:rsidRDefault="00180243" w:rsidP="00180243"/>
    <w:p w:rsidR="00180243" w:rsidRDefault="00180243" w:rsidP="00180243">
      <w:pPr>
        <w:tabs>
          <w:tab w:val="left" w:pos="709"/>
          <w:tab w:val="center" w:pos="4536"/>
          <w:tab w:val="left" w:pos="5222"/>
        </w:tabs>
        <w:jc w:val="both"/>
        <w:rPr>
          <w:rFonts w:ascii="Arial" w:hAnsi="Arial" w:cs="Arial"/>
          <w:bCs/>
          <w:sz w:val="22"/>
          <w:szCs w:val="22"/>
        </w:rPr>
      </w:pPr>
      <w:r>
        <w:rPr>
          <w:rFonts w:ascii="Arial" w:hAnsi="Arial" w:cs="Arial"/>
          <w:bCs/>
          <w:sz w:val="22"/>
          <w:szCs w:val="22"/>
        </w:rPr>
        <w:t>Prodávající prohlašuje, že mu není známo, že by na převáděném majetku vázla nějaká omezení, závazky či právní vady.</w:t>
      </w:r>
    </w:p>
    <w:p w:rsidR="00180243" w:rsidRDefault="00180243" w:rsidP="00180243">
      <w:pPr>
        <w:jc w:val="both"/>
        <w:rPr>
          <w:rFonts w:ascii="Arial" w:hAnsi="Arial" w:cs="Arial"/>
          <w:b/>
          <w:bCs/>
          <w:i/>
          <w:iCs/>
          <w:sz w:val="22"/>
          <w:szCs w:val="22"/>
        </w:rPr>
      </w:pPr>
    </w:p>
    <w:p w:rsidR="00180243" w:rsidRDefault="00180243" w:rsidP="00180243">
      <w:pPr>
        <w:jc w:val="both"/>
        <w:rPr>
          <w:rFonts w:ascii="Arial" w:hAnsi="Arial" w:cs="Arial"/>
          <w:b/>
          <w:bCs/>
          <w:i/>
          <w:iCs/>
          <w:sz w:val="22"/>
          <w:szCs w:val="22"/>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lastRenderedPageBreak/>
        <w:t>Čl. V.</w:t>
      </w:r>
    </w:p>
    <w:p w:rsidR="00180243" w:rsidRDefault="00180243" w:rsidP="00180243">
      <w:pPr>
        <w:ind w:firstLine="426"/>
        <w:rPr>
          <w:rFonts w:ascii="Arial" w:hAnsi="Arial" w:cs="Arial"/>
          <w:sz w:val="22"/>
          <w:szCs w:val="22"/>
        </w:rPr>
      </w:pPr>
    </w:p>
    <w:p w:rsidR="00180243" w:rsidRDefault="00180243" w:rsidP="00180243">
      <w:pPr>
        <w:numPr>
          <w:ilvl w:val="0"/>
          <w:numId w:val="4"/>
        </w:numPr>
        <w:autoSpaceDE w:val="0"/>
        <w:autoSpaceDN w:val="0"/>
        <w:adjustRightInd w:val="0"/>
        <w:ind w:left="426" w:hanging="426"/>
        <w:contextualSpacing/>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nemá žádné dluhy vůči státu a je schopen dodržet své závazky vyplývající z této smlouvy, zejména zaplatit včas a řádně kupní cenu.</w:t>
      </w:r>
    </w:p>
    <w:p w:rsidR="00180243" w:rsidRDefault="00180243" w:rsidP="00180243">
      <w:pPr>
        <w:tabs>
          <w:tab w:val="left" w:pos="426"/>
          <w:tab w:val="left" w:pos="709"/>
        </w:tabs>
        <w:ind w:left="426" w:hanging="426"/>
        <w:jc w:val="both"/>
        <w:rPr>
          <w:rFonts w:ascii="Arial" w:hAnsi="Arial" w:cs="Arial"/>
          <w:bCs/>
          <w:sz w:val="22"/>
          <w:szCs w:val="22"/>
        </w:rPr>
      </w:pPr>
    </w:p>
    <w:p w:rsidR="00180243" w:rsidRDefault="00180243" w:rsidP="00180243">
      <w:pPr>
        <w:numPr>
          <w:ilvl w:val="0"/>
          <w:numId w:val="4"/>
        </w:numPr>
        <w:overflowPunct w:val="0"/>
        <w:autoSpaceDE w:val="0"/>
        <w:autoSpaceDN w:val="0"/>
        <w:adjustRightInd w:val="0"/>
        <w:ind w:left="426" w:hanging="426"/>
        <w:jc w:val="both"/>
        <w:textAlignment w:val="baseline"/>
        <w:rPr>
          <w:rFonts w:ascii="Arial" w:hAnsi="Arial" w:cs="Arial"/>
          <w:i/>
          <w:sz w:val="22"/>
          <w:szCs w:val="22"/>
          <w:u w:val="single"/>
        </w:rPr>
      </w:pPr>
      <w:r>
        <w:rPr>
          <w:rFonts w:ascii="Arial" w:hAnsi="Arial" w:cs="Arial"/>
          <w:sz w:val="22"/>
          <w:szCs w:val="22"/>
        </w:rPr>
        <w:t xml:space="preserve">Kupující prohlašuje, že není osobou, na niž se vztahuje § 18 zákona č. 219/2000 Sb. </w:t>
      </w:r>
    </w:p>
    <w:p w:rsidR="00180243" w:rsidRDefault="00180243" w:rsidP="00180243">
      <w:pPr>
        <w:overflowPunct w:val="0"/>
        <w:autoSpaceDE w:val="0"/>
        <w:autoSpaceDN w:val="0"/>
        <w:adjustRightInd w:val="0"/>
        <w:ind w:left="426" w:hanging="426"/>
        <w:jc w:val="both"/>
        <w:textAlignment w:val="baseline"/>
        <w:rPr>
          <w:rFonts w:ascii="Arial" w:hAnsi="Arial" w:cs="Arial"/>
          <w:i/>
          <w:sz w:val="22"/>
          <w:szCs w:val="22"/>
          <w:u w:val="single"/>
        </w:rPr>
      </w:pPr>
    </w:p>
    <w:p w:rsidR="00180243" w:rsidRDefault="00180243" w:rsidP="00180243">
      <w:pPr>
        <w:tabs>
          <w:tab w:val="left" w:pos="-142"/>
          <w:tab w:val="left" w:pos="426"/>
        </w:tabs>
        <w:overflowPunct w:val="0"/>
        <w:autoSpaceDE w:val="0"/>
        <w:autoSpaceDN w:val="0"/>
        <w:adjustRightInd w:val="0"/>
        <w:jc w:val="center"/>
        <w:textAlignment w:val="baseline"/>
        <w:rPr>
          <w:rFonts w:ascii="Arial" w:hAnsi="Arial" w:cs="Arial"/>
          <w:i/>
          <w:sz w:val="22"/>
          <w:szCs w:val="22"/>
        </w:rPr>
      </w:pPr>
    </w:p>
    <w:p w:rsidR="00180243" w:rsidRDefault="00180243" w:rsidP="00180243">
      <w:pPr>
        <w:keepNext/>
        <w:jc w:val="center"/>
        <w:outlineLvl w:val="0"/>
        <w:rPr>
          <w:rFonts w:ascii="Arial" w:hAnsi="Arial" w:cs="Arial"/>
          <w:b/>
          <w:sz w:val="22"/>
          <w:szCs w:val="22"/>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VI.</w:t>
      </w:r>
    </w:p>
    <w:p w:rsidR="00180243" w:rsidRDefault="00180243" w:rsidP="00180243">
      <w:pPr>
        <w:tabs>
          <w:tab w:val="left" w:pos="-142"/>
        </w:tabs>
        <w:overflowPunct w:val="0"/>
        <w:autoSpaceDE w:val="0"/>
        <w:autoSpaceDN w:val="0"/>
        <w:adjustRightInd w:val="0"/>
        <w:ind w:left="357" w:hanging="499"/>
        <w:jc w:val="both"/>
        <w:textAlignment w:val="baseline"/>
        <w:rPr>
          <w:rFonts w:ascii="Arial" w:hAnsi="Arial" w:cs="Arial"/>
          <w:sz w:val="22"/>
          <w:szCs w:val="22"/>
        </w:rPr>
      </w:pPr>
    </w:p>
    <w:p w:rsidR="00180243" w:rsidRDefault="00180243" w:rsidP="00180243">
      <w:pPr>
        <w:overflowPunct w:val="0"/>
        <w:autoSpaceDE w:val="0"/>
        <w:autoSpaceDN w:val="0"/>
        <w:adjustRightInd w:val="0"/>
        <w:jc w:val="both"/>
        <w:textAlignment w:val="baseline"/>
        <w:rPr>
          <w:rFonts w:ascii="Arial" w:hAnsi="Arial" w:cs="Arial"/>
          <w:strike/>
          <w:sz w:val="22"/>
          <w:szCs w:val="22"/>
        </w:rPr>
      </w:pPr>
      <w:r>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180243" w:rsidRDefault="00180243" w:rsidP="00180243">
      <w:pPr>
        <w:jc w:val="center"/>
      </w:pPr>
    </w:p>
    <w:p w:rsidR="00180243" w:rsidRDefault="00180243" w:rsidP="00180243">
      <w:pPr>
        <w:jc w:val="cente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VII.</w:t>
      </w:r>
    </w:p>
    <w:p w:rsidR="00180243" w:rsidRDefault="00180243" w:rsidP="00180243">
      <w:pPr>
        <w:ind w:firstLine="284"/>
        <w:rPr>
          <w:rFonts w:ascii="Arial" w:hAnsi="Arial" w:cs="Arial"/>
          <w:sz w:val="22"/>
          <w:szCs w:val="22"/>
        </w:rPr>
      </w:pPr>
    </w:p>
    <w:p w:rsidR="00180243" w:rsidRDefault="00180243" w:rsidP="00180243">
      <w:pPr>
        <w:numPr>
          <w:ilvl w:val="0"/>
          <w:numId w:val="5"/>
        </w:numPr>
        <w:tabs>
          <w:tab w:val="clear" w:pos="360"/>
          <w:tab w:val="num" w:pos="426"/>
        </w:tabs>
        <w:ind w:left="426" w:hanging="426"/>
        <w:jc w:val="both"/>
        <w:rPr>
          <w:rFonts w:ascii="Arial" w:hAnsi="Arial" w:cs="Arial"/>
          <w:sz w:val="22"/>
          <w:szCs w:val="22"/>
        </w:rPr>
      </w:pPr>
      <w:r>
        <w:rPr>
          <w:rFonts w:ascii="Arial" w:hAnsi="Arial" w:cs="Arial"/>
          <w:sz w:val="22"/>
          <w:szCs w:val="22"/>
        </w:rPr>
        <w:t xml:space="preserve">Kupující je oprávněn odstoupit od této kupní smlouvy pouze v souladu s ustanovení § 2001 </w:t>
      </w:r>
      <w:r>
        <w:rPr>
          <w:rFonts w:ascii="Arial" w:hAnsi="Arial" w:cs="Arial"/>
          <w:sz w:val="22"/>
          <w:szCs w:val="22"/>
        </w:rPr>
        <w:br/>
        <w:t>a násl. zákona č. 89/2012 Sb.</w:t>
      </w:r>
    </w:p>
    <w:p w:rsidR="00180243" w:rsidRDefault="00180243" w:rsidP="00180243">
      <w:pPr>
        <w:tabs>
          <w:tab w:val="num" w:pos="360"/>
        </w:tabs>
        <w:ind w:left="426" w:hanging="426"/>
        <w:jc w:val="both"/>
        <w:rPr>
          <w:rFonts w:ascii="Arial" w:hAnsi="Arial" w:cs="Arial"/>
          <w:sz w:val="22"/>
          <w:szCs w:val="22"/>
        </w:rPr>
      </w:pPr>
    </w:p>
    <w:p w:rsidR="00180243" w:rsidRDefault="00180243" w:rsidP="00180243">
      <w:pPr>
        <w:numPr>
          <w:ilvl w:val="0"/>
          <w:numId w:val="5"/>
        </w:numPr>
        <w:tabs>
          <w:tab w:val="clear" w:pos="360"/>
          <w:tab w:val="num" w:pos="426"/>
        </w:tabs>
        <w:ind w:left="426" w:hanging="426"/>
        <w:jc w:val="both"/>
        <w:rPr>
          <w:rFonts w:ascii="Arial" w:hAnsi="Arial" w:cs="Arial"/>
          <w:i/>
          <w:sz w:val="22"/>
          <w:szCs w:val="22"/>
          <w:u w:val="single"/>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180243" w:rsidRDefault="00180243" w:rsidP="00180243">
      <w:pPr>
        <w:tabs>
          <w:tab w:val="num" w:pos="360"/>
        </w:tabs>
        <w:ind w:left="426" w:hanging="426"/>
        <w:jc w:val="both"/>
        <w:rPr>
          <w:rFonts w:ascii="Arial" w:hAnsi="Arial" w:cs="Arial"/>
          <w:i/>
          <w:sz w:val="22"/>
          <w:szCs w:val="22"/>
          <w:u w:val="single"/>
        </w:rPr>
      </w:pPr>
    </w:p>
    <w:p w:rsidR="00180243" w:rsidRDefault="00180243" w:rsidP="00180243">
      <w:pPr>
        <w:numPr>
          <w:ilvl w:val="0"/>
          <w:numId w:val="5"/>
        </w:numPr>
        <w:tabs>
          <w:tab w:val="clear" w:pos="360"/>
          <w:tab w:val="num" w:pos="426"/>
          <w:tab w:val="left" w:pos="709"/>
        </w:tabs>
        <w:ind w:left="426" w:hanging="426"/>
        <w:jc w:val="both"/>
        <w:rPr>
          <w:rFonts w:ascii="Arial" w:hAnsi="Arial" w:cs="Arial"/>
          <w:i/>
          <w:sz w:val="22"/>
          <w:szCs w:val="22"/>
          <w:u w:val="single"/>
        </w:rPr>
      </w:pPr>
      <w:r>
        <w:rPr>
          <w:rFonts w:ascii="Arial" w:hAnsi="Arial" w:cs="Arial"/>
          <w:sz w:val="22"/>
          <w:szCs w:val="22"/>
        </w:rPr>
        <w:t xml:space="preserve">Prodávající je, kromě zákonných důvodů, též oprávněn od této smlouvy odstoupit, jestliže se prokáže, že prohlášení kupujícího, uvedená v Čl. V. odst. 2. nejsou pravdivá, úplná </w:t>
      </w:r>
      <w:r>
        <w:rPr>
          <w:rFonts w:ascii="Arial" w:hAnsi="Arial" w:cs="Arial"/>
          <w:sz w:val="22"/>
          <w:szCs w:val="22"/>
        </w:rPr>
        <w:br/>
        <w:t>nebo přesná.</w:t>
      </w:r>
    </w:p>
    <w:p w:rsidR="00180243" w:rsidRDefault="00180243" w:rsidP="00180243">
      <w:pPr>
        <w:tabs>
          <w:tab w:val="left" w:pos="709"/>
          <w:tab w:val="left" w:pos="900"/>
        </w:tabs>
        <w:overflowPunct w:val="0"/>
        <w:autoSpaceDE w:val="0"/>
        <w:autoSpaceDN w:val="0"/>
        <w:adjustRightInd w:val="0"/>
        <w:ind w:left="360"/>
        <w:jc w:val="center"/>
        <w:textAlignment w:val="baseline"/>
        <w:rPr>
          <w:rFonts w:ascii="Arial" w:hAnsi="Arial" w:cs="Arial"/>
          <w:sz w:val="22"/>
          <w:szCs w:val="22"/>
        </w:rPr>
      </w:pPr>
    </w:p>
    <w:p w:rsidR="00180243" w:rsidRDefault="00180243" w:rsidP="00180243">
      <w:pPr>
        <w:tabs>
          <w:tab w:val="left" w:pos="709"/>
          <w:tab w:val="left" w:pos="900"/>
        </w:tabs>
        <w:overflowPunct w:val="0"/>
        <w:autoSpaceDE w:val="0"/>
        <w:autoSpaceDN w:val="0"/>
        <w:adjustRightInd w:val="0"/>
        <w:ind w:left="360"/>
        <w:jc w:val="center"/>
        <w:textAlignment w:val="baseline"/>
        <w:rPr>
          <w:rFonts w:ascii="Arial" w:hAnsi="Arial" w:cs="Arial"/>
          <w:sz w:val="22"/>
          <w:szCs w:val="22"/>
        </w:rPr>
      </w:pPr>
    </w:p>
    <w:p w:rsidR="00180243" w:rsidRDefault="00180243" w:rsidP="00180243">
      <w:pPr>
        <w:ind w:left="426" w:hanging="426"/>
        <w:contextualSpacing/>
        <w:jc w:val="center"/>
        <w:rPr>
          <w:rFonts w:ascii="Arial" w:hAnsi="Arial" w:cs="Arial"/>
          <w:b/>
          <w:sz w:val="22"/>
          <w:szCs w:val="22"/>
        </w:rPr>
      </w:pPr>
      <w:r>
        <w:rPr>
          <w:rFonts w:ascii="Arial" w:hAnsi="Arial" w:cs="Arial"/>
          <w:b/>
          <w:sz w:val="22"/>
          <w:szCs w:val="22"/>
        </w:rPr>
        <w:t>Čl. VIII.</w:t>
      </w:r>
    </w:p>
    <w:p w:rsidR="00180243" w:rsidRDefault="00180243" w:rsidP="00180243">
      <w:pPr>
        <w:ind w:left="426" w:hanging="426"/>
        <w:contextualSpacing/>
        <w:jc w:val="center"/>
        <w:rPr>
          <w:rFonts w:ascii="Arial" w:hAnsi="Arial" w:cs="Arial"/>
          <w:b/>
          <w:sz w:val="22"/>
          <w:szCs w:val="22"/>
        </w:rPr>
      </w:pPr>
    </w:p>
    <w:p w:rsidR="00180243" w:rsidRDefault="00180243" w:rsidP="00180243">
      <w:pPr>
        <w:numPr>
          <w:ilvl w:val="0"/>
          <w:numId w:val="6"/>
        </w:numPr>
        <w:ind w:left="426" w:hanging="426"/>
        <w:contextualSpacing/>
        <w:jc w:val="both"/>
        <w:rPr>
          <w:rFonts w:ascii="Arial" w:hAnsi="Arial" w:cs="Arial"/>
          <w:sz w:val="22"/>
          <w:szCs w:val="22"/>
        </w:rPr>
      </w:pPr>
      <w:r>
        <w:rPr>
          <w:rFonts w:ascii="Arial" w:hAnsi="Arial" w:cs="Arial"/>
          <w:sz w:val="22"/>
          <w:szCs w:val="22"/>
        </w:rPr>
        <w:t xml:space="preserve">V případě, že dojde k porušení závazků ze strany kupujícího, ve smyslu Čl. VII. odst. 2. </w:t>
      </w:r>
      <w:r>
        <w:rPr>
          <w:rFonts w:ascii="Arial" w:hAnsi="Arial" w:cs="Arial"/>
          <w:sz w:val="22"/>
          <w:szCs w:val="22"/>
        </w:rPr>
        <w:br/>
        <w:t xml:space="preserve">nebo Čl. VII. odst. 3., a prodávající od této smlouvy odstoupí, propadá část kupní ceny, složená kupujícím na účet prodávajícího při výběrovém řízení (dále jen „kauce“), </w:t>
      </w:r>
      <w:r>
        <w:rPr>
          <w:rFonts w:ascii="Arial" w:hAnsi="Arial" w:cs="Arial"/>
          <w:sz w:val="22"/>
          <w:szCs w:val="22"/>
        </w:rPr>
        <w:br/>
        <w:t xml:space="preserve">ve prospěch prodávajícího. </w:t>
      </w:r>
    </w:p>
    <w:p w:rsidR="00180243" w:rsidRDefault="00180243" w:rsidP="00180243">
      <w:pPr>
        <w:ind w:left="426" w:hanging="426"/>
        <w:contextualSpacing/>
        <w:jc w:val="both"/>
        <w:rPr>
          <w:rFonts w:ascii="Arial" w:hAnsi="Arial" w:cs="Arial"/>
          <w:sz w:val="22"/>
          <w:szCs w:val="22"/>
        </w:rPr>
      </w:pPr>
    </w:p>
    <w:p w:rsidR="00180243" w:rsidRDefault="00180243" w:rsidP="00180243">
      <w:pPr>
        <w:numPr>
          <w:ilvl w:val="0"/>
          <w:numId w:val="6"/>
        </w:numPr>
        <w:ind w:left="426" w:hanging="426"/>
        <w:jc w:val="both"/>
        <w:rPr>
          <w:rFonts w:ascii="Arial" w:hAnsi="Arial" w:cs="Arial"/>
          <w:sz w:val="22"/>
          <w:szCs w:val="22"/>
        </w:rPr>
      </w:pPr>
      <w:r>
        <w:rPr>
          <w:rFonts w:ascii="Arial" w:hAnsi="Arial" w:cs="Arial"/>
          <w:sz w:val="22"/>
          <w:szCs w:val="22"/>
        </w:rPr>
        <w:t xml:space="preserve">Odstoupením od smlouvy prodávajícím zároveň vznikne prodávajícímu právo na náhradu veškerých nákladů, které mu vznikly v souvislosti s prodejem převáděného majetku. </w:t>
      </w:r>
    </w:p>
    <w:p w:rsidR="00180243" w:rsidRDefault="00180243" w:rsidP="00180243">
      <w:pPr>
        <w:ind w:left="426" w:hanging="426"/>
        <w:jc w:val="both"/>
        <w:rPr>
          <w:rFonts w:ascii="Arial" w:hAnsi="Arial" w:cs="Arial"/>
          <w:sz w:val="22"/>
          <w:szCs w:val="22"/>
        </w:rPr>
      </w:pPr>
    </w:p>
    <w:p w:rsidR="00180243" w:rsidRDefault="00180243" w:rsidP="00180243">
      <w:pPr>
        <w:numPr>
          <w:ilvl w:val="0"/>
          <w:numId w:val="6"/>
        </w:numPr>
        <w:ind w:left="426" w:hanging="426"/>
        <w:jc w:val="both"/>
        <w:rPr>
          <w:rFonts w:ascii="Arial" w:hAnsi="Arial" w:cs="Arial"/>
          <w:sz w:val="22"/>
          <w:szCs w:val="22"/>
        </w:rPr>
      </w:pPr>
      <w:r>
        <w:rPr>
          <w:rFonts w:ascii="Arial" w:hAnsi="Arial" w:cs="Arial"/>
          <w:sz w:val="22"/>
          <w:szCs w:val="22"/>
        </w:rPr>
        <w:t xml:space="preserve">Odstoupení od této smlouvy kteroukoliv ze smluvních stran se nedotýká povinnosti kupujícího zaplatit peněžitá plnění (zejm. úroky z prodlení, smluvní pokuty, náklady, které vznikly prodávajícímu v souvislosti s prodejem převáděného majetku), na jejichž úhradu </w:t>
      </w:r>
      <w:r>
        <w:rPr>
          <w:rFonts w:ascii="Arial" w:hAnsi="Arial" w:cs="Arial"/>
          <w:sz w:val="22"/>
          <w:szCs w:val="22"/>
        </w:rPr>
        <w:br/>
        <w:t>dle této smlouvy vznikl prodávajícímu nárok do data účinnosti odstoupení.</w:t>
      </w:r>
    </w:p>
    <w:p w:rsidR="00180243" w:rsidRDefault="00180243" w:rsidP="00180243">
      <w:pPr>
        <w:ind w:left="720" w:hanging="294"/>
        <w:contextualSpacing/>
        <w:rPr>
          <w:rFonts w:ascii="Arial" w:hAnsi="Arial" w:cs="Arial"/>
          <w:sz w:val="22"/>
          <w:szCs w:val="22"/>
        </w:rPr>
      </w:pPr>
    </w:p>
    <w:p w:rsidR="00180243" w:rsidRDefault="00180243" w:rsidP="00180243">
      <w:pPr>
        <w:numPr>
          <w:ilvl w:val="0"/>
          <w:numId w:val="6"/>
        </w:numPr>
        <w:ind w:left="426" w:hanging="426"/>
        <w:contextualSpacing/>
        <w:jc w:val="both"/>
        <w:rPr>
          <w:rFonts w:ascii="Arial" w:hAnsi="Arial" w:cs="Arial"/>
          <w:sz w:val="22"/>
          <w:szCs w:val="22"/>
        </w:rPr>
      </w:pPr>
      <w:r>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Pr>
          <w:rFonts w:ascii="Arial" w:hAnsi="Arial" w:cs="Arial"/>
          <w:sz w:val="22"/>
          <w:szCs w:val="22"/>
        </w:rPr>
        <w:br/>
        <w:t>na jejichž úhradu vznikl prodávajícímu nárok do data účinnosti odstoupení, a kromě kauce.</w:t>
      </w:r>
    </w:p>
    <w:p w:rsidR="00180243" w:rsidRDefault="00180243" w:rsidP="00180243">
      <w:pPr>
        <w:ind w:left="720" w:hanging="294"/>
        <w:contextualSpacing/>
        <w:rPr>
          <w:rFonts w:ascii="Arial" w:hAnsi="Arial" w:cs="Arial"/>
          <w:sz w:val="22"/>
          <w:szCs w:val="22"/>
        </w:rPr>
      </w:pPr>
    </w:p>
    <w:p w:rsidR="00180243" w:rsidRDefault="00180243" w:rsidP="00180243">
      <w:pPr>
        <w:numPr>
          <w:ilvl w:val="0"/>
          <w:numId w:val="6"/>
        </w:numPr>
        <w:ind w:left="426" w:hanging="426"/>
        <w:contextualSpacing/>
        <w:jc w:val="both"/>
        <w:rPr>
          <w:rFonts w:ascii="Arial" w:hAnsi="Arial" w:cs="Arial"/>
          <w:sz w:val="22"/>
          <w:szCs w:val="22"/>
        </w:rPr>
      </w:pPr>
      <w:r>
        <w:rPr>
          <w:rFonts w:ascii="Arial" w:hAnsi="Arial" w:cs="Arial"/>
          <w:sz w:val="22"/>
          <w:szCs w:val="22"/>
        </w:rPr>
        <w:t>Pokud dojde k odstoupení od smlouvy a kupní cena již byla zaplacena, má prodávající povinnost do třiceti dnů od účinků odstoupení vrátit kupní cenu sníženou o:</w:t>
      </w:r>
    </w:p>
    <w:p w:rsidR="00180243" w:rsidRDefault="00180243" w:rsidP="00180243">
      <w:pPr>
        <w:numPr>
          <w:ilvl w:val="0"/>
          <w:numId w:val="7"/>
        </w:numPr>
        <w:tabs>
          <w:tab w:val="left" w:pos="993"/>
        </w:tabs>
        <w:spacing w:before="120"/>
        <w:ind w:left="993" w:hanging="284"/>
        <w:contextualSpacing/>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180243" w:rsidRDefault="00180243" w:rsidP="00180243">
      <w:pPr>
        <w:numPr>
          <w:ilvl w:val="0"/>
          <w:numId w:val="7"/>
        </w:numPr>
        <w:tabs>
          <w:tab w:val="left" w:pos="993"/>
        </w:tabs>
        <w:spacing w:before="120"/>
        <w:ind w:left="993" w:hanging="284"/>
        <w:contextualSpacing/>
        <w:jc w:val="both"/>
        <w:rPr>
          <w:rFonts w:ascii="Arial" w:hAnsi="Arial" w:cs="Arial"/>
          <w:sz w:val="22"/>
          <w:szCs w:val="22"/>
        </w:rPr>
      </w:pPr>
      <w:r>
        <w:rPr>
          <w:rFonts w:ascii="Arial" w:hAnsi="Arial" w:cs="Arial"/>
          <w:sz w:val="22"/>
          <w:szCs w:val="22"/>
        </w:rPr>
        <w:t>kauci (pouze v případě odstoupení od smlouvy prodávajícím)</w:t>
      </w:r>
    </w:p>
    <w:p w:rsidR="00180243" w:rsidRDefault="00180243" w:rsidP="00180243">
      <w:pPr>
        <w:numPr>
          <w:ilvl w:val="0"/>
          <w:numId w:val="8"/>
        </w:numPr>
        <w:tabs>
          <w:tab w:val="left" w:pos="993"/>
        </w:tabs>
        <w:ind w:left="993" w:hanging="284"/>
        <w:contextualSpacing/>
        <w:jc w:val="both"/>
        <w:rPr>
          <w:rFonts w:ascii="Arial" w:hAnsi="Arial" w:cs="Arial"/>
          <w:sz w:val="22"/>
          <w:szCs w:val="22"/>
        </w:rPr>
      </w:pPr>
      <w:r>
        <w:rPr>
          <w:rFonts w:ascii="Arial" w:hAnsi="Arial" w:cs="Arial"/>
          <w:sz w:val="22"/>
          <w:szCs w:val="22"/>
        </w:rPr>
        <w:t>vyúčtované smluvní pokuty a úroky z prodlení</w:t>
      </w:r>
    </w:p>
    <w:p w:rsidR="00180243" w:rsidRDefault="00180243" w:rsidP="00180243">
      <w:pPr>
        <w:tabs>
          <w:tab w:val="left" w:pos="1134"/>
        </w:tabs>
        <w:ind w:left="425"/>
        <w:contextualSpacing/>
        <w:jc w:val="both"/>
        <w:rPr>
          <w:rFonts w:ascii="Arial" w:hAnsi="Arial" w:cs="Arial"/>
          <w:sz w:val="22"/>
          <w:szCs w:val="22"/>
        </w:rPr>
      </w:pPr>
      <w:r>
        <w:rPr>
          <w:rFonts w:ascii="Arial" w:hAnsi="Arial" w:cs="Arial"/>
          <w:sz w:val="22"/>
          <w:szCs w:val="22"/>
        </w:rPr>
        <w:lastRenderedPageBreak/>
        <w:t xml:space="preserve">na účet kupujícího. </w:t>
      </w:r>
    </w:p>
    <w:p w:rsidR="00180243" w:rsidRDefault="00180243" w:rsidP="00180243">
      <w:pPr>
        <w:jc w:val="both"/>
      </w:pPr>
    </w:p>
    <w:p w:rsidR="00180243" w:rsidRDefault="00180243" w:rsidP="00180243">
      <w:pPr>
        <w:tabs>
          <w:tab w:val="left" w:pos="1134"/>
        </w:tabs>
        <w:ind w:left="425"/>
        <w:contextualSpacing/>
        <w:jc w:val="both"/>
        <w:rPr>
          <w:rFonts w:ascii="Arial" w:hAnsi="Arial" w:cs="Arial"/>
          <w:sz w:val="22"/>
          <w:szCs w:val="22"/>
        </w:rPr>
      </w:pPr>
      <w:r>
        <w:rPr>
          <w:rFonts w:ascii="Arial" w:hAnsi="Arial" w:cs="Arial"/>
          <w:sz w:val="22"/>
          <w:szCs w:val="22"/>
        </w:rPr>
        <w:t>Pokud kupní cena ještě uhrazena nebyla (a k odstoupení od smlouvy došlo ze strany prodávajícího), má kupující povinnost do třiceti dnů od doručení výzvy k úhradě vyúčtovaných nákladů, které vznikly v souvislosti s prodejem převáděného majetku, převést vyúčtovanou částku na účet prodávajícího. Kupující je povinen zaplatit prodávajícímu vyúčtované smluvní pokuty a úroky z prodlení, pokud vznikly dle této smlouvy. Kauce propadá ve prospěch prodávajícího podle Čl. VIII. odst. 1.</w:t>
      </w:r>
    </w:p>
    <w:p w:rsidR="00180243" w:rsidRDefault="00180243" w:rsidP="00180243">
      <w:pPr>
        <w:jc w:val="center"/>
        <w:rPr>
          <w:rFonts w:ascii="Arial" w:hAnsi="Arial"/>
          <w:sz w:val="22"/>
          <w:szCs w:val="22"/>
        </w:rPr>
      </w:pPr>
    </w:p>
    <w:p w:rsidR="00180243" w:rsidRDefault="00180243" w:rsidP="00180243">
      <w:pPr>
        <w:jc w:val="center"/>
        <w:rPr>
          <w:sz w:val="22"/>
          <w:szCs w:val="22"/>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IX.</w:t>
      </w:r>
    </w:p>
    <w:p w:rsidR="00180243" w:rsidRDefault="00180243" w:rsidP="00180243">
      <w:pPr>
        <w:jc w:val="both"/>
        <w:rPr>
          <w:rFonts w:ascii="Arial" w:hAnsi="Arial" w:cs="Arial"/>
          <w:sz w:val="22"/>
          <w:szCs w:val="22"/>
        </w:rPr>
      </w:pPr>
    </w:p>
    <w:p w:rsidR="00180243" w:rsidRDefault="00180243" w:rsidP="00180243">
      <w:pPr>
        <w:numPr>
          <w:ilvl w:val="0"/>
          <w:numId w:val="9"/>
        </w:numPr>
        <w:tabs>
          <w:tab w:val="clear" w:pos="360"/>
          <w:tab w:val="num" w:pos="426"/>
        </w:tabs>
        <w:ind w:left="426" w:hanging="426"/>
        <w:contextualSpacing/>
        <w:jc w:val="both"/>
        <w:rPr>
          <w:rFonts w:ascii="Arial" w:hAnsi="Arial" w:cs="Arial"/>
          <w:sz w:val="22"/>
          <w:szCs w:val="22"/>
        </w:rPr>
      </w:pPr>
      <w:r>
        <w:rPr>
          <w:rFonts w:ascii="Arial" w:hAnsi="Arial" w:cs="Arial"/>
          <w:sz w:val="22"/>
          <w:szCs w:val="22"/>
        </w:rPr>
        <w:t xml:space="preserve">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nemovitých věcí. Poplatníkem daně z převáděného majetku je kupující (nabyvatel vlastnického práva k nemovité věci). </w:t>
      </w:r>
    </w:p>
    <w:p w:rsidR="00180243" w:rsidRDefault="00180243" w:rsidP="00180243">
      <w:pPr>
        <w:jc w:val="both"/>
        <w:rPr>
          <w:rFonts w:ascii="Arial" w:hAnsi="Arial" w:cs="Arial"/>
          <w:sz w:val="22"/>
          <w:szCs w:val="22"/>
        </w:rPr>
      </w:pPr>
    </w:p>
    <w:p w:rsidR="00180243" w:rsidRDefault="00180243" w:rsidP="00180243">
      <w:pPr>
        <w:numPr>
          <w:ilvl w:val="0"/>
          <w:numId w:val="9"/>
        </w:numPr>
        <w:tabs>
          <w:tab w:val="clear" w:pos="360"/>
          <w:tab w:val="num" w:pos="426"/>
        </w:tabs>
        <w:ind w:left="426" w:hanging="426"/>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 touto smlouvou spojené nese kupující.</w:t>
      </w:r>
    </w:p>
    <w:p w:rsidR="00180243" w:rsidRDefault="00180243" w:rsidP="00180243">
      <w:pPr>
        <w:tabs>
          <w:tab w:val="left" w:pos="709"/>
        </w:tabs>
        <w:jc w:val="both"/>
        <w:rPr>
          <w:rFonts w:ascii="Arial" w:hAnsi="Arial" w:cs="Arial"/>
          <w:i/>
          <w:sz w:val="22"/>
          <w:szCs w:val="22"/>
          <w:u w:val="single"/>
        </w:rPr>
      </w:pPr>
    </w:p>
    <w:p w:rsidR="00180243" w:rsidRDefault="00180243" w:rsidP="00180243">
      <w:pPr>
        <w:numPr>
          <w:ilvl w:val="0"/>
          <w:numId w:val="9"/>
        </w:numPr>
        <w:tabs>
          <w:tab w:val="clear" w:pos="360"/>
          <w:tab w:val="num" w:pos="426"/>
        </w:tab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180243" w:rsidRDefault="00180243" w:rsidP="00180243">
      <w:pPr>
        <w:tabs>
          <w:tab w:val="left" w:pos="360"/>
          <w:tab w:val="left" w:pos="1200"/>
          <w:tab w:val="left" w:pos="1866"/>
        </w:tabs>
        <w:overflowPunct w:val="0"/>
        <w:autoSpaceDE w:val="0"/>
        <w:autoSpaceDN w:val="0"/>
        <w:adjustRightInd w:val="0"/>
        <w:ind w:left="357"/>
        <w:jc w:val="both"/>
        <w:textAlignment w:val="baseline"/>
        <w:rPr>
          <w:rFonts w:ascii="Arial" w:hAnsi="Arial" w:cs="Arial"/>
          <w:sz w:val="22"/>
          <w:szCs w:val="22"/>
        </w:rPr>
      </w:pPr>
    </w:p>
    <w:p w:rsidR="00180243" w:rsidRDefault="00180243" w:rsidP="00180243">
      <w:pPr>
        <w:numPr>
          <w:ilvl w:val="0"/>
          <w:numId w:val="9"/>
        </w:numPr>
        <w:tabs>
          <w:tab w:val="clear" w:pos="360"/>
          <w:tab w:val="num" w:pos="426"/>
          <w:tab w:val="left" w:pos="1200"/>
          <w:tab w:val="left" w:pos="1866"/>
        </w:tabs>
        <w:overflowPunct w:val="0"/>
        <w:autoSpaceDE w:val="0"/>
        <w:autoSpaceDN w:val="0"/>
        <w:adjustRightInd w:val="0"/>
        <w:ind w:left="426" w:hanging="426"/>
        <w:jc w:val="both"/>
        <w:textAlignment w:val="baseline"/>
        <w:rPr>
          <w:rFonts w:ascii="Arial" w:hAnsi="Arial" w:cs="Arial"/>
          <w:i/>
          <w:sz w:val="22"/>
          <w:szCs w:val="22"/>
        </w:rPr>
      </w:pPr>
      <w:r>
        <w:rPr>
          <w:rFonts w:ascii="Arial" w:hAnsi="Arial" w:cs="Arial"/>
          <w:sz w:val="22"/>
          <w:szCs w:val="22"/>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w:t>
      </w:r>
    </w:p>
    <w:p w:rsidR="00180243" w:rsidRDefault="00180243" w:rsidP="00180243">
      <w:pPr>
        <w:tabs>
          <w:tab w:val="left" w:pos="709"/>
        </w:tabs>
        <w:jc w:val="center"/>
        <w:rPr>
          <w:rFonts w:ascii="Arial" w:hAnsi="Arial" w:cs="Arial"/>
          <w:sz w:val="22"/>
          <w:szCs w:val="22"/>
        </w:rPr>
      </w:pPr>
    </w:p>
    <w:p w:rsidR="00180243" w:rsidRDefault="00180243" w:rsidP="00180243">
      <w:pPr>
        <w:keepNext/>
        <w:jc w:val="center"/>
        <w:outlineLvl w:val="0"/>
        <w:rPr>
          <w:rFonts w:ascii="Arial" w:hAnsi="Arial" w:cs="Arial"/>
          <w:b/>
          <w:sz w:val="22"/>
          <w:szCs w:val="22"/>
        </w:rPr>
      </w:pPr>
    </w:p>
    <w:p w:rsidR="00180243" w:rsidRDefault="00180243" w:rsidP="00180243">
      <w:pPr>
        <w:keepNext/>
        <w:jc w:val="center"/>
        <w:outlineLvl w:val="0"/>
        <w:rPr>
          <w:rFonts w:ascii="Arial" w:hAnsi="Arial" w:cs="Arial"/>
          <w:b/>
          <w:sz w:val="22"/>
          <w:szCs w:val="22"/>
        </w:rPr>
      </w:pPr>
      <w:r>
        <w:rPr>
          <w:rFonts w:ascii="Arial" w:hAnsi="Arial" w:cs="Arial"/>
          <w:b/>
          <w:sz w:val="22"/>
          <w:szCs w:val="22"/>
        </w:rPr>
        <w:t>Čl. X.</w:t>
      </w:r>
    </w:p>
    <w:p w:rsidR="00180243" w:rsidRDefault="00180243" w:rsidP="00180243">
      <w:pPr>
        <w:ind w:firstLine="426"/>
      </w:pPr>
    </w:p>
    <w:p w:rsidR="00180243" w:rsidRDefault="00180243" w:rsidP="00180243">
      <w:pPr>
        <w:numPr>
          <w:ilvl w:val="0"/>
          <w:numId w:val="10"/>
        </w:numPr>
        <w:shd w:val="clear" w:color="auto" w:fill="FFFFFF"/>
        <w:ind w:left="426" w:hanging="426"/>
        <w:jc w:val="both"/>
        <w:outlineLvl w:val="0"/>
        <w:rPr>
          <w:rFonts w:ascii="Arial" w:hAnsi="Arial" w:cs="Arial"/>
          <w:sz w:val="22"/>
          <w:szCs w:val="22"/>
          <w:u w:val="single"/>
        </w:rPr>
      </w:pPr>
      <w:r>
        <w:rPr>
          <w:rFonts w:ascii="Arial" w:hAnsi="Arial" w:cs="Arial"/>
          <w:bCs/>
          <w:iCs/>
          <w:sz w:val="22"/>
          <w:szCs w:val="22"/>
        </w:rPr>
        <w:t>Tato smlouva nabývá platnosti dnem schválení příslušným ministerstvem podle ustanovení §</w:t>
      </w:r>
      <w:r>
        <w:t> </w:t>
      </w:r>
      <w:r>
        <w:rPr>
          <w:rFonts w:ascii="Arial" w:hAnsi="Arial" w:cs="Arial"/>
          <w:bCs/>
          <w:iCs/>
          <w:sz w:val="22"/>
          <w:szCs w:val="22"/>
        </w:rPr>
        <w:t>22 zákona č. 219/2000 Sb.</w:t>
      </w:r>
    </w:p>
    <w:p w:rsidR="00180243" w:rsidRDefault="00180243" w:rsidP="00180243">
      <w:pPr>
        <w:shd w:val="clear" w:color="auto" w:fill="FFFFFF"/>
        <w:tabs>
          <w:tab w:val="center" w:pos="4536"/>
          <w:tab w:val="left" w:pos="5222"/>
        </w:tabs>
        <w:ind w:left="357"/>
        <w:jc w:val="both"/>
        <w:outlineLvl w:val="0"/>
        <w:rPr>
          <w:rFonts w:ascii="Arial" w:hAnsi="Arial" w:cs="Arial"/>
          <w:bCs/>
          <w:iCs/>
          <w:sz w:val="22"/>
          <w:szCs w:val="22"/>
        </w:rPr>
      </w:pPr>
    </w:p>
    <w:p w:rsidR="00180243" w:rsidRDefault="00180243" w:rsidP="00180243">
      <w:pPr>
        <w:numPr>
          <w:ilvl w:val="0"/>
          <w:numId w:val="10"/>
        </w:numPr>
        <w:tabs>
          <w:tab w:val="left" w:pos="426"/>
        </w:tabs>
        <w:ind w:left="426" w:hanging="429"/>
        <w:jc w:val="both"/>
        <w:rPr>
          <w:rFonts w:ascii="Arial" w:hAnsi="Arial" w:cs="Arial"/>
          <w:sz w:val="22"/>
          <w:szCs w:val="22"/>
        </w:rPr>
      </w:pPr>
      <w:r>
        <w:rPr>
          <w:rFonts w:ascii="Arial" w:hAnsi="Arial" w:cs="Arial"/>
          <w:sz w:val="22"/>
          <w:szCs w:val="22"/>
        </w:rPr>
        <w:t xml:space="preserve">Smluvní strany se dohodly, že není-li v této smlouvě stanoveno jinak, řídí se práva a povinnosti smluvních stran zákonem č. 89/2012 Sb. a zákonem č. 219/2000 Sb. </w:t>
      </w:r>
    </w:p>
    <w:p w:rsidR="00180243" w:rsidRDefault="00180243" w:rsidP="00180243">
      <w:pPr>
        <w:tabs>
          <w:tab w:val="left" w:pos="709"/>
        </w:tabs>
        <w:ind w:left="426" w:hanging="429"/>
        <w:jc w:val="both"/>
        <w:rPr>
          <w:rFonts w:ascii="Arial" w:hAnsi="Arial" w:cs="Arial"/>
          <w:sz w:val="22"/>
          <w:szCs w:val="22"/>
        </w:rPr>
      </w:pPr>
    </w:p>
    <w:p w:rsidR="00180243" w:rsidRDefault="00180243" w:rsidP="00180243">
      <w:pPr>
        <w:numPr>
          <w:ilvl w:val="0"/>
          <w:numId w:val="10"/>
        </w:numPr>
        <w:tabs>
          <w:tab w:val="left" w:pos="426"/>
        </w:tabs>
        <w:ind w:left="426" w:hanging="429"/>
        <w:jc w:val="both"/>
        <w:rPr>
          <w:rFonts w:ascii="Arial" w:hAnsi="Arial" w:cs="Arial"/>
          <w:sz w:val="22"/>
          <w:szCs w:val="22"/>
        </w:rPr>
      </w:pPr>
      <w:r>
        <w:rPr>
          <w:rFonts w:ascii="Arial" w:hAnsi="Arial" w:cs="Arial"/>
          <w:sz w:val="22"/>
          <w:szCs w:val="22"/>
        </w:rPr>
        <w:t>Smluvní strany se dohodly, že jakékoli změny a doplňky této smlouvy jsou možné pouze písemnou formou, v podobě oboustranně uzavřených, vzestupně číslovaných dodatků smlouvy, které podléhají schválení Ministerstvem financí.</w:t>
      </w:r>
    </w:p>
    <w:p w:rsidR="00180243" w:rsidRDefault="00180243" w:rsidP="00180243">
      <w:pPr>
        <w:tabs>
          <w:tab w:val="left" w:pos="709"/>
        </w:tabs>
        <w:ind w:left="426" w:hanging="429"/>
        <w:jc w:val="both"/>
        <w:rPr>
          <w:rFonts w:ascii="Arial" w:hAnsi="Arial" w:cs="Arial"/>
          <w:sz w:val="22"/>
          <w:szCs w:val="22"/>
        </w:rPr>
      </w:pPr>
    </w:p>
    <w:p w:rsidR="00180243" w:rsidRDefault="00180243" w:rsidP="00180243">
      <w:pPr>
        <w:numPr>
          <w:ilvl w:val="0"/>
          <w:numId w:val="10"/>
        </w:numPr>
        <w:tabs>
          <w:tab w:val="left" w:pos="426"/>
        </w:tabs>
        <w:ind w:left="426" w:hanging="429"/>
        <w:jc w:val="both"/>
        <w:rPr>
          <w:rFonts w:ascii="Arial" w:hAnsi="Arial" w:cs="Arial"/>
          <w:sz w:val="22"/>
          <w:szCs w:val="22"/>
        </w:rPr>
      </w:pPr>
      <w:r>
        <w:rPr>
          <w:rFonts w:ascii="Arial" w:hAnsi="Arial" w:cs="Arial"/>
          <w:sz w:val="22"/>
          <w:szCs w:val="22"/>
        </w:rPr>
        <w:t>Poplatkové a daňové povinnosti spojené s touto smlouvou nese kupující.</w:t>
      </w:r>
    </w:p>
    <w:p w:rsidR="00180243" w:rsidRDefault="00180243" w:rsidP="00180243">
      <w:pPr>
        <w:tabs>
          <w:tab w:val="left" w:pos="709"/>
        </w:tabs>
        <w:ind w:left="426" w:hanging="429"/>
        <w:jc w:val="both"/>
        <w:rPr>
          <w:rFonts w:ascii="Arial" w:hAnsi="Arial" w:cs="Arial"/>
          <w:sz w:val="22"/>
          <w:szCs w:val="22"/>
        </w:rPr>
      </w:pPr>
    </w:p>
    <w:p w:rsidR="00180243" w:rsidRDefault="00180243" w:rsidP="00180243">
      <w:pPr>
        <w:numPr>
          <w:ilvl w:val="0"/>
          <w:numId w:val="10"/>
        </w:numPr>
        <w:overflowPunct w:val="0"/>
        <w:autoSpaceDE w:val="0"/>
        <w:autoSpaceDN w:val="0"/>
        <w:adjustRightInd w:val="0"/>
        <w:ind w:left="426" w:hanging="429"/>
        <w:jc w:val="both"/>
        <w:textAlignment w:val="baseline"/>
        <w:rPr>
          <w:rFonts w:ascii="Arial" w:hAnsi="Arial" w:cs="Arial"/>
          <w:sz w:val="22"/>
          <w:szCs w:val="22"/>
        </w:rPr>
      </w:pPr>
      <w:r>
        <w:rPr>
          <w:rFonts w:ascii="Arial" w:hAnsi="Arial" w:cs="Arial"/>
          <w:sz w:val="22"/>
          <w:szCs w:val="22"/>
        </w:rPr>
        <w:t>Tato smlouva je vyhotovena v</w:t>
      </w:r>
      <w:r w:rsidR="00F679B5">
        <w:rPr>
          <w:rFonts w:ascii="Arial" w:hAnsi="Arial" w:cs="Arial"/>
          <w:sz w:val="22"/>
          <w:szCs w:val="22"/>
        </w:rPr>
        <w:t>e čtyřech s</w:t>
      </w:r>
      <w:r>
        <w:rPr>
          <w:rFonts w:ascii="Arial" w:hAnsi="Arial" w:cs="Arial"/>
          <w:sz w:val="22"/>
          <w:szCs w:val="22"/>
        </w:rPr>
        <w:t xml:space="preserve">tejnopisech. Každá ze smluvních stran obdrží </w:t>
      </w:r>
      <w:r>
        <w:rPr>
          <w:rFonts w:ascii="Arial" w:hAnsi="Arial" w:cs="Arial"/>
          <w:sz w:val="22"/>
          <w:szCs w:val="22"/>
        </w:rPr>
        <w:br/>
        <w:t xml:space="preserve">po jednom vyhotovení, jedno vyhotovení bude určeno pro příslušné ministerstvo a jedno vyhotovení bude použito k zápisu vlastnického práva vkladem do katastru nemovitostí. </w:t>
      </w:r>
    </w:p>
    <w:p w:rsidR="00180243" w:rsidRDefault="00180243" w:rsidP="00180243">
      <w:pPr>
        <w:tabs>
          <w:tab w:val="left" w:pos="709"/>
        </w:tabs>
        <w:ind w:left="426" w:hanging="429"/>
        <w:jc w:val="both"/>
        <w:rPr>
          <w:rFonts w:ascii="Arial" w:hAnsi="Arial" w:cs="Arial"/>
          <w:sz w:val="22"/>
          <w:szCs w:val="22"/>
        </w:rPr>
      </w:pPr>
    </w:p>
    <w:p w:rsidR="00180243" w:rsidRDefault="00180243" w:rsidP="00180243">
      <w:pPr>
        <w:numPr>
          <w:ilvl w:val="0"/>
          <w:numId w:val="10"/>
        </w:numPr>
        <w:tabs>
          <w:tab w:val="left" w:pos="426"/>
        </w:tabs>
        <w:ind w:left="426" w:hanging="429"/>
        <w:jc w:val="both"/>
        <w:rPr>
          <w:rFonts w:ascii="Arial" w:hAnsi="Arial" w:cs="Arial"/>
          <w:sz w:val="22"/>
          <w:szCs w:val="22"/>
        </w:rPr>
      </w:pPr>
      <w:r>
        <w:rPr>
          <w:rFonts w:ascii="Arial" w:hAnsi="Arial" w:cs="Arial"/>
          <w:sz w:val="22"/>
          <w:szCs w:val="22"/>
        </w:rPr>
        <w:t>Smluvní strany navzájem prohlašují, že smlouva neobsahuje žádné obchodní tajemství.</w:t>
      </w:r>
    </w:p>
    <w:p w:rsidR="00180243" w:rsidRDefault="00180243" w:rsidP="00180243">
      <w:pPr>
        <w:tabs>
          <w:tab w:val="left" w:pos="709"/>
        </w:tabs>
        <w:ind w:left="426" w:hanging="429"/>
        <w:jc w:val="both"/>
        <w:rPr>
          <w:rFonts w:ascii="Arial" w:hAnsi="Arial" w:cs="Arial"/>
          <w:sz w:val="22"/>
          <w:szCs w:val="22"/>
        </w:rPr>
      </w:pPr>
    </w:p>
    <w:p w:rsidR="00180243" w:rsidRDefault="00180243" w:rsidP="00180243">
      <w:pPr>
        <w:numPr>
          <w:ilvl w:val="0"/>
          <w:numId w:val="10"/>
        </w:numPr>
        <w:tabs>
          <w:tab w:val="left" w:pos="426"/>
        </w:tabs>
        <w:ind w:left="426" w:hanging="429"/>
        <w:jc w:val="both"/>
        <w:rPr>
          <w:rFonts w:ascii="Arial" w:hAnsi="Arial" w:cs="Arial"/>
          <w:sz w:val="22"/>
          <w:szCs w:val="22"/>
        </w:rPr>
      </w:pPr>
      <w:r>
        <w:rPr>
          <w:rFonts w:ascii="Arial" w:hAnsi="Arial" w:cs="Arial"/>
          <w:sz w:val="22"/>
          <w:szCs w:val="22"/>
        </w:rPr>
        <w:lastRenderedPageBreak/>
        <w:t>Tato smlouva bude zveřejněna prodávajícím v registru smluv podle zákona č. 340/2015 Sb., o zvláštních podmínkách účinnosti některých smluv, uveřejňování těchto smluv a o registru smluv (zákon o registru smluv).</w:t>
      </w:r>
    </w:p>
    <w:p w:rsidR="00180243" w:rsidRDefault="00180243" w:rsidP="00180243">
      <w:pPr>
        <w:tabs>
          <w:tab w:val="left" w:pos="709"/>
        </w:tabs>
        <w:ind w:left="426" w:hanging="429"/>
        <w:jc w:val="both"/>
        <w:rPr>
          <w:rFonts w:ascii="Arial" w:hAnsi="Arial" w:cs="Arial"/>
          <w:sz w:val="22"/>
          <w:szCs w:val="22"/>
        </w:rPr>
      </w:pPr>
    </w:p>
    <w:p w:rsidR="00180243" w:rsidRDefault="00180243" w:rsidP="00180243">
      <w:pPr>
        <w:numPr>
          <w:ilvl w:val="0"/>
          <w:numId w:val="10"/>
        </w:numPr>
        <w:tabs>
          <w:tab w:val="left" w:pos="426"/>
        </w:tabs>
        <w:ind w:left="426" w:hanging="429"/>
        <w:jc w:val="both"/>
        <w:rPr>
          <w:rFonts w:ascii="Arial" w:hAnsi="Arial" w:cs="Arial"/>
          <w:sz w:val="20"/>
          <w:szCs w:val="20"/>
        </w:rPr>
      </w:pPr>
      <w:r>
        <w:rPr>
          <w:rFonts w:ascii="Arial" w:hAnsi="Arial" w:cs="Arial"/>
          <w:sz w:val="22"/>
          <w:szCs w:val="22"/>
        </w:rPr>
        <w:t>Prodávající zašle tuto smlouvu správci registru smluv k uveřejnění bez zbytečného odkladu, nejpozději však do 30 dnů od uzavření smlouvy.</w:t>
      </w:r>
    </w:p>
    <w:p w:rsidR="00180243" w:rsidRDefault="00180243" w:rsidP="00180243">
      <w:pPr>
        <w:tabs>
          <w:tab w:val="left" w:pos="709"/>
        </w:tabs>
        <w:ind w:left="1077"/>
        <w:jc w:val="both"/>
        <w:rPr>
          <w:rFonts w:ascii="Arial" w:hAnsi="Arial" w:cs="Arial"/>
          <w:sz w:val="22"/>
          <w:szCs w:val="22"/>
        </w:rPr>
      </w:pPr>
    </w:p>
    <w:p w:rsidR="00180243" w:rsidRDefault="00180243" w:rsidP="00180243">
      <w:pPr>
        <w:numPr>
          <w:ilvl w:val="0"/>
          <w:numId w:val="10"/>
        </w:numPr>
        <w:tabs>
          <w:tab w:val="left" w:pos="426"/>
        </w:tabs>
        <w:ind w:left="426" w:hanging="426"/>
        <w:jc w:val="both"/>
        <w:rPr>
          <w:rFonts w:ascii="Arial" w:hAnsi="Arial" w:cs="Arial"/>
          <w:sz w:val="22"/>
          <w:szCs w:val="22"/>
        </w:rPr>
      </w:pPr>
      <w:r>
        <w:rPr>
          <w:rFonts w:ascii="Arial" w:hAnsi="Arial" w:cs="Arial"/>
          <w:sz w:val="22"/>
          <w:szCs w:val="22"/>
        </w:rPr>
        <w:t>Smluvní strany prohlašují, že tuto smlouvu uzavřely svobodně a vážně, nikoliv z přinucení nebo omylu. Na důkaz toho připojují své vlastnoruční podpisy.</w:t>
      </w:r>
    </w:p>
    <w:p w:rsidR="00D51DFC" w:rsidRDefault="00D51DFC" w:rsidP="00D51DFC">
      <w:pPr>
        <w:tabs>
          <w:tab w:val="left" w:pos="426"/>
        </w:tabs>
        <w:jc w:val="both"/>
        <w:rPr>
          <w:rFonts w:ascii="Arial" w:hAnsi="Arial" w:cs="Arial"/>
          <w:sz w:val="22"/>
          <w:szCs w:val="22"/>
        </w:rPr>
      </w:pPr>
    </w:p>
    <w:p w:rsidR="00D51DFC" w:rsidRDefault="00D51DFC" w:rsidP="00D51DFC">
      <w:pPr>
        <w:tabs>
          <w:tab w:val="left" w:pos="426"/>
        </w:tabs>
        <w:jc w:val="both"/>
        <w:rPr>
          <w:rFonts w:ascii="Arial" w:hAnsi="Arial" w:cs="Arial"/>
          <w:sz w:val="22"/>
          <w:szCs w:val="22"/>
        </w:rPr>
      </w:pPr>
    </w:p>
    <w:p w:rsidR="00D51DFC" w:rsidRDefault="00D51DFC" w:rsidP="00D51DFC">
      <w:pPr>
        <w:tabs>
          <w:tab w:val="left" w:pos="426"/>
        </w:tabs>
        <w:jc w:val="both"/>
        <w:rPr>
          <w:rFonts w:ascii="Arial" w:hAnsi="Arial" w:cs="Arial"/>
          <w:sz w:val="22"/>
          <w:szCs w:val="22"/>
        </w:rPr>
      </w:pPr>
    </w:p>
    <w:p w:rsidR="00D51DFC" w:rsidRPr="00D51DFC" w:rsidRDefault="00D51DFC" w:rsidP="00D51DFC">
      <w:pPr>
        <w:rPr>
          <w:rFonts w:ascii="Arial" w:hAnsi="Arial" w:cs="Arial"/>
          <w:sz w:val="22"/>
          <w:szCs w:val="22"/>
        </w:rPr>
      </w:pPr>
    </w:p>
    <w:tbl>
      <w:tblPr>
        <w:tblW w:w="0" w:type="auto"/>
        <w:tblLook w:val="04A0" w:firstRow="1" w:lastRow="0" w:firstColumn="1" w:lastColumn="0" w:noHBand="0" w:noVBand="1"/>
      </w:tblPr>
      <w:tblGrid>
        <w:gridCol w:w="4624"/>
        <w:gridCol w:w="137"/>
        <w:gridCol w:w="47"/>
        <w:gridCol w:w="4690"/>
        <w:gridCol w:w="85"/>
        <w:gridCol w:w="129"/>
      </w:tblGrid>
      <w:tr w:rsidR="00D51DFC" w:rsidRPr="00D51DFC" w:rsidTr="00507418">
        <w:trPr>
          <w:gridAfter w:val="2"/>
          <w:wAfter w:w="214" w:type="dxa"/>
          <w:trHeight w:val="242"/>
        </w:trPr>
        <w:tc>
          <w:tcPr>
            <w:tcW w:w="4761" w:type="dxa"/>
            <w:gridSpan w:val="2"/>
            <w:hideMark/>
          </w:tcPr>
          <w:p w:rsidR="00D51DFC" w:rsidRPr="00D51DFC" w:rsidRDefault="00D51DFC" w:rsidP="00D51DFC">
            <w:pPr>
              <w:rPr>
                <w:rFonts w:ascii="Arial" w:hAnsi="Arial" w:cs="Arial"/>
                <w:sz w:val="22"/>
                <w:szCs w:val="22"/>
              </w:rPr>
            </w:pPr>
            <w:r w:rsidRPr="00D51DFC">
              <w:rPr>
                <w:rFonts w:ascii="Arial" w:hAnsi="Arial" w:cs="Arial"/>
                <w:sz w:val="22"/>
                <w:szCs w:val="22"/>
              </w:rPr>
              <w:t xml:space="preserve">V Praze dne </w:t>
            </w:r>
          </w:p>
        </w:tc>
        <w:tc>
          <w:tcPr>
            <w:tcW w:w="4737" w:type="dxa"/>
            <w:gridSpan w:val="2"/>
            <w:hideMark/>
          </w:tcPr>
          <w:p w:rsidR="00D51DFC" w:rsidRPr="00D51DFC" w:rsidRDefault="00D51DFC" w:rsidP="00D51DFC">
            <w:pPr>
              <w:rPr>
                <w:rFonts w:ascii="Arial" w:hAnsi="Arial" w:cs="Arial"/>
                <w:sz w:val="22"/>
                <w:szCs w:val="22"/>
              </w:rPr>
            </w:pPr>
            <w:r w:rsidRPr="00D51DFC">
              <w:rPr>
                <w:rFonts w:ascii="Arial" w:hAnsi="Arial" w:cs="Arial"/>
                <w:sz w:val="22"/>
                <w:szCs w:val="22"/>
              </w:rPr>
              <w:t xml:space="preserve">V Praze dne </w:t>
            </w:r>
          </w:p>
        </w:tc>
      </w:tr>
      <w:tr w:rsidR="00D51DFC" w:rsidRPr="00D51DFC" w:rsidTr="00507418">
        <w:trPr>
          <w:gridAfter w:val="2"/>
          <w:wAfter w:w="214" w:type="dxa"/>
          <w:trHeight w:val="877"/>
        </w:trPr>
        <w:tc>
          <w:tcPr>
            <w:tcW w:w="4761" w:type="dxa"/>
            <w:gridSpan w:val="2"/>
          </w:tcPr>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r w:rsidRPr="00D51DFC">
              <w:rPr>
                <w:rFonts w:ascii="Arial" w:hAnsi="Arial" w:cs="Arial"/>
                <w:sz w:val="22"/>
                <w:szCs w:val="22"/>
              </w:rPr>
              <w:t>Česká republika - Úřad pro zastupování</w:t>
            </w:r>
          </w:p>
          <w:p w:rsidR="00D51DFC" w:rsidRPr="00D51DFC" w:rsidRDefault="00D51DFC" w:rsidP="00D51DFC">
            <w:pPr>
              <w:rPr>
                <w:rFonts w:ascii="Arial" w:hAnsi="Arial" w:cs="Arial"/>
                <w:sz w:val="22"/>
                <w:szCs w:val="22"/>
              </w:rPr>
            </w:pPr>
            <w:r w:rsidRPr="00D51DFC">
              <w:rPr>
                <w:rFonts w:ascii="Arial" w:hAnsi="Arial" w:cs="Arial"/>
                <w:sz w:val="22"/>
                <w:szCs w:val="22"/>
              </w:rPr>
              <w:t>státu ve věcech majetkových</w:t>
            </w: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p w:rsidR="00D51DFC" w:rsidRPr="00D51DFC" w:rsidRDefault="00D51DFC" w:rsidP="00D51DFC">
            <w:pPr>
              <w:rPr>
                <w:rFonts w:ascii="Arial" w:hAnsi="Arial" w:cs="Arial"/>
                <w:sz w:val="22"/>
                <w:szCs w:val="22"/>
              </w:rPr>
            </w:pPr>
          </w:p>
        </w:tc>
        <w:tc>
          <w:tcPr>
            <w:tcW w:w="4737" w:type="dxa"/>
            <w:gridSpan w:val="2"/>
          </w:tcPr>
          <w:p w:rsidR="00D51DFC" w:rsidRPr="00D51DFC" w:rsidRDefault="00D51DFC" w:rsidP="00D51DFC">
            <w:pPr>
              <w:rPr>
                <w:rFonts w:ascii="Arial" w:hAnsi="Arial" w:cs="Arial"/>
                <w:sz w:val="22"/>
                <w:szCs w:val="22"/>
              </w:rPr>
            </w:pPr>
          </w:p>
        </w:tc>
      </w:tr>
      <w:tr w:rsidR="00D51DFC" w:rsidRPr="00D51DFC" w:rsidTr="00507418">
        <w:trPr>
          <w:gridAfter w:val="1"/>
          <w:wAfter w:w="129" w:type="dxa"/>
          <w:trHeight w:val="33"/>
        </w:trPr>
        <w:tc>
          <w:tcPr>
            <w:tcW w:w="4808" w:type="dxa"/>
            <w:gridSpan w:val="3"/>
            <w:hideMark/>
          </w:tcPr>
          <w:p w:rsidR="00D51DFC" w:rsidRPr="00D51DFC" w:rsidRDefault="00D51DFC" w:rsidP="00D51DFC">
            <w:pPr>
              <w:rPr>
                <w:rFonts w:ascii="Arial" w:hAnsi="Arial" w:cs="Arial"/>
                <w:sz w:val="22"/>
                <w:szCs w:val="22"/>
              </w:rPr>
            </w:pPr>
            <w:r w:rsidRPr="00D51DFC">
              <w:rPr>
                <w:rFonts w:ascii="Arial" w:hAnsi="Arial" w:cs="Arial"/>
                <w:sz w:val="22"/>
                <w:szCs w:val="22"/>
              </w:rPr>
              <w:t>…………………………….………………………..</w:t>
            </w:r>
          </w:p>
        </w:tc>
        <w:tc>
          <w:tcPr>
            <w:tcW w:w="4775" w:type="dxa"/>
            <w:gridSpan w:val="2"/>
            <w:hideMark/>
          </w:tcPr>
          <w:p w:rsidR="00D51DFC" w:rsidRPr="00D51DFC" w:rsidRDefault="00D51DFC" w:rsidP="00D51DFC">
            <w:pPr>
              <w:rPr>
                <w:rFonts w:ascii="Arial" w:hAnsi="Arial" w:cs="Arial"/>
                <w:sz w:val="22"/>
                <w:szCs w:val="22"/>
              </w:rPr>
            </w:pPr>
            <w:r w:rsidRPr="00D51DFC">
              <w:rPr>
                <w:rFonts w:ascii="Arial" w:hAnsi="Arial" w:cs="Arial"/>
                <w:sz w:val="22"/>
                <w:szCs w:val="22"/>
              </w:rPr>
              <w:t>…………………………….……………………….</w:t>
            </w:r>
          </w:p>
        </w:tc>
      </w:tr>
      <w:tr w:rsidR="00D51DFC" w:rsidRPr="00D51DFC" w:rsidTr="00507418">
        <w:trPr>
          <w:trHeight w:val="327"/>
        </w:trPr>
        <w:tc>
          <w:tcPr>
            <w:tcW w:w="4624" w:type="dxa"/>
          </w:tcPr>
          <w:p w:rsidR="00D51DFC" w:rsidRPr="00D51DFC" w:rsidRDefault="00D51DFC" w:rsidP="00D51DFC">
            <w:pPr>
              <w:rPr>
                <w:rFonts w:ascii="Arial" w:hAnsi="Arial" w:cs="Arial"/>
                <w:sz w:val="22"/>
                <w:szCs w:val="22"/>
              </w:rPr>
            </w:pPr>
            <w:r w:rsidRPr="00D51DFC">
              <w:rPr>
                <w:rFonts w:ascii="Arial" w:hAnsi="Arial" w:cs="Arial"/>
                <w:sz w:val="22"/>
                <w:szCs w:val="22"/>
              </w:rPr>
              <w:t xml:space="preserve">                   Ing. Vladimír Hůlka </w:t>
            </w:r>
          </w:p>
          <w:p w:rsidR="00D51DFC" w:rsidRPr="00D51DFC" w:rsidRDefault="00D51DFC" w:rsidP="00D51DFC">
            <w:pPr>
              <w:rPr>
                <w:rFonts w:ascii="Arial" w:hAnsi="Arial" w:cs="Arial"/>
                <w:sz w:val="22"/>
                <w:szCs w:val="22"/>
              </w:rPr>
            </w:pPr>
            <w:r w:rsidRPr="00D51DFC">
              <w:rPr>
                <w:rFonts w:ascii="Arial" w:hAnsi="Arial" w:cs="Arial"/>
                <w:sz w:val="22"/>
                <w:szCs w:val="22"/>
              </w:rPr>
              <w:t xml:space="preserve">    pověřen zastupováním pracovního místa </w:t>
            </w:r>
          </w:p>
          <w:p w:rsidR="00D51DFC" w:rsidRPr="00D51DFC" w:rsidRDefault="00D51DFC" w:rsidP="00D51DFC">
            <w:pPr>
              <w:rPr>
                <w:rFonts w:ascii="Arial" w:hAnsi="Arial" w:cs="Arial"/>
                <w:sz w:val="22"/>
                <w:szCs w:val="22"/>
              </w:rPr>
            </w:pPr>
            <w:r w:rsidRPr="00D51DFC">
              <w:rPr>
                <w:rFonts w:ascii="Arial" w:hAnsi="Arial" w:cs="Arial"/>
                <w:sz w:val="22"/>
                <w:szCs w:val="22"/>
              </w:rPr>
              <w:t xml:space="preserve">ředitele Územního pracoviště v hl. m. Praze </w:t>
            </w:r>
          </w:p>
        </w:tc>
        <w:tc>
          <w:tcPr>
            <w:tcW w:w="5088" w:type="dxa"/>
            <w:gridSpan w:val="5"/>
          </w:tcPr>
          <w:p w:rsidR="00D51DFC" w:rsidRPr="0054284B" w:rsidRDefault="00D51DFC" w:rsidP="0054284B">
            <w:pPr>
              <w:rPr>
                <w:rFonts w:ascii="Arial" w:hAnsi="Arial" w:cs="Arial"/>
                <w:sz w:val="22"/>
                <w:szCs w:val="22"/>
              </w:rPr>
            </w:pPr>
            <w:r w:rsidRPr="00D51DFC">
              <w:rPr>
                <w:rFonts w:ascii="Arial" w:hAnsi="Arial" w:cs="Arial"/>
                <w:sz w:val="22"/>
                <w:szCs w:val="22"/>
              </w:rPr>
              <w:t xml:space="preserve">                     </w:t>
            </w:r>
            <w:bookmarkStart w:id="0" w:name="_GoBack"/>
            <w:r w:rsidR="0054284B" w:rsidRPr="0054284B">
              <w:rPr>
                <w:rFonts w:ascii="Arial" w:hAnsi="Arial"/>
                <w:sz w:val="22"/>
              </w:rPr>
              <w:t>VÝBĚR REALITY, s.r.o</w:t>
            </w:r>
            <w:bookmarkEnd w:id="0"/>
          </w:p>
        </w:tc>
      </w:tr>
      <w:tr w:rsidR="00D51DFC" w:rsidRPr="00D51DFC" w:rsidTr="00507418">
        <w:trPr>
          <w:gridAfter w:val="1"/>
          <w:wAfter w:w="129" w:type="dxa"/>
          <w:trHeight w:val="310"/>
        </w:trPr>
        <w:tc>
          <w:tcPr>
            <w:tcW w:w="4808" w:type="dxa"/>
            <w:gridSpan w:val="3"/>
          </w:tcPr>
          <w:p w:rsidR="00D51DFC" w:rsidRPr="00D51DFC" w:rsidRDefault="00D51DFC" w:rsidP="00D51DFC">
            <w:pPr>
              <w:rPr>
                <w:rFonts w:ascii="Arial" w:hAnsi="Arial" w:cs="Arial"/>
                <w:b/>
                <w:sz w:val="22"/>
                <w:szCs w:val="22"/>
              </w:rPr>
            </w:pPr>
          </w:p>
        </w:tc>
        <w:tc>
          <w:tcPr>
            <w:tcW w:w="4775" w:type="dxa"/>
            <w:gridSpan w:val="2"/>
          </w:tcPr>
          <w:p w:rsidR="00D51DFC" w:rsidRPr="00D51DFC" w:rsidRDefault="00D51DFC" w:rsidP="00D51DFC">
            <w:pPr>
              <w:rPr>
                <w:rFonts w:ascii="Arial" w:hAnsi="Arial" w:cs="Arial"/>
                <w:b/>
                <w:sz w:val="22"/>
                <w:szCs w:val="22"/>
              </w:rPr>
            </w:pPr>
          </w:p>
        </w:tc>
      </w:tr>
    </w:tbl>
    <w:p w:rsidR="00D51DFC" w:rsidRPr="00D51DFC" w:rsidRDefault="00D51DFC" w:rsidP="00D51DFC">
      <w:pPr>
        <w:rPr>
          <w:rFonts w:ascii="Arial" w:hAnsi="Arial" w:cs="Arial"/>
          <w:sz w:val="22"/>
          <w:szCs w:val="22"/>
        </w:rPr>
      </w:pPr>
    </w:p>
    <w:p w:rsidR="007E2ACA" w:rsidRPr="007E2ACA" w:rsidRDefault="007E2ACA">
      <w:pP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C6" w:rsidRDefault="00E85CC6">
      <w:r>
        <w:separator/>
      </w:r>
    </w:p>
  </w:endnote>
  <w:endnote w:type="continuationSeparator" w:id="0">
    <w:p w:rsidR="00E85CC6" w:rsidRDefault="00E8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C6" w:rsidRDefault="00E85CC6">
      <w:r>
        <w:separator/>
      </w:r>
    </w:p>
  </w:footnote>
  <w:footnote w:type="continuationSeparator" w:id="0">
    <w:p w:rsidR="00E85CC6" w:rsidRDefault="00E85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4B1"/>
    <w:multiLevelType w:val="hybridMultilevel"/>
    <w:tmpl w:val="934C4F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B02528D"/>
    <w:multiLevelType w:val="hybridMultilevel"/>
    <w:tmpl w:val="CD502F34"/>
    <w:lvl w:ilvl="0" w:tplc="26EC7A32">
      <w:start w:val="1"/>
      <w:numFmt w:val="decimal"/>
      <w:lvlText w:val="%1."/>
      <w:lvlJc w:val="left"/>
      <w:pPr>
        <w:tabs>
          <w:tab w:val="num" w:pos="360"/>
        </w:tabs>
        <w:ind w:left="360" w:hanging="360"/>
      </w:pPr>
      <w:rPr>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FC87537"/>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nsid w:val="24F214F1"/>
    <w:multiLevelType w:val="hybridMultilevel"/>
    <w:tmpl w:val="AA260478"/>
    <w:lvl w:ilvl="0" w:tplc="F30E26C8">
      <w:start w:val="1"/>
      <w:numFmt w:val="decimal"/>
      <w:lvlText w:val="%1."/>
      <w:lvlJc w:val="left"/>
      <w:pPr>
        <w:ind w:left="360" w:hanging="360"/>
      </w:pPr>
      <w:rPr>
        <w:b w:val="0"/>
        <w:i w:val="0"/>
        <w:color w:val="000000"/>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33504D82"/>
    <w:multiLevelType w:val="hybridMultilevel"/>
    <w:tmpl w:val="B486FC02"/>
    <w:lvl w:ilvl="0" w:tplc="0405000F">
      <w:start w:val="1"/>
      <w:numFmt w:val="decimal"/>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5">
    <w:nsid w:val="373F2ECB"/>
    <w:multiLevelType w:val="hybridMultilevel"/>
    <w:tmpl w:val="0DF4B70A"/>
    <w:lvl w:ilvl="0" w:tplc="F7FE78F0">
      <w:start w:val="1"/>
      <w:numFmt w:val="decimal"/>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6">
    <w:nsid w:val="39181B46"/>
    <w:multiLevelType w:val="hybridMultilevel"/>
    <w:tmpl w:val="6FACA836"/>
    <w:lvl w:ilvl="0" w:tplc="C6E028A8">
      <w:start w:val="1"/>
      <w:numFmt w:val="decimal"/>
      <w:lvlText w:val="%1."/>
      <w:lvlJc w:val="left"/>
      <w:pPr>
        <w:tabs>
          <w:tab w:val="num" w:pos="360"/>
        </w:tabs>
        <w:ind w:left="36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9BF266B"/>
    <w:multiLevelType w:val="hybridMultilevel"/>
    <w:tmpl w:val="8402C400"/>
    <w:lvl w:ilvl="0" w:tplc="A8B00D22">
      <w:start w:val="1"/>
      <w:numFmt w:val="decimal"/>
      <w:lvlText w:val="%1."/>
      <w:lvlJc w:val="left"/>
      <w:pPr>
        <w:ind w:left="720" w:hanging="360"/>
      </w:pPr>
      <w:rPr>
        <w:i w:val="0"/>
        <w:sz w:val="22"/>
        <w:szCs w:val="22"/>
      </w:rPr>
    </w:lvl>
    <w:lvl w:ilvl="1" w:tplc="1200D828">
      <w:start w:val="10"/>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AE179F3"/>
    <w:multiLevelType w:val="hybridMultilevel"/>
    <w:tmpl w:val="10D0649A"/>
    <w:lvl w:ilvl="0" w:tplc="010A5782">
      <w:start w:val="1"/>
      <w:numFmt w:val="decimal"/>
      <w:lvlText w:val="%1."/>
      <w:lvlJc w:val="left"/>
      <w:pPr>
        <w:tabs>
          <w:tab w:val="num" w:pos="360"/>
        </w:tabs>
        <w:ind w:left="36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EB6180F"/>
    <w:multiLevelType w:val="hybridMultilevel"/>
    <w:tmpl w:val="41AA8E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2E7E"/>
    <w:rsid w:val="00084F5C"/>
    <w:rsid w:val="000A39A7"/>
    <w:rsid w:val="000D22D1"/>
    <w:rsid w:val="0010213B"/>
    <w:rsid w:val="00180243"/>
    <w:rsid w:val="001A1BA8"/>
    <w:rsid w:val="001D304A"/>
    <w:rsid w:val="00213024"/>
    <w:rsid w:val="002826A9"/>
    <w:rsid w:val="0028656F"/>
    <w:rsid w:val="00295D0D"/>
    <w:rsid w:val="002A7CDC"/>
    <w:rsid w:val="002B7A34"/>
    <w:rsid w:val="00311656"/>
    <w:rsid w:val="003B66AD"/>
    <w:rsid w:val="003E6C1B"/>
    <w:rsid w:val="004377D5"/>
    <w:rsid w:val="0048518B"/>
    <w:rsid w:val="004D6076"/>
    <w:rsid w:val="00507418"/>
    <w:rsid w:val="00524910"/>
    <w:rsid w:val="0054284B"/>
    <w:rsid w:val="005E0AA4"/>
    <w:rsid w:val="005F59D4"/>
    <w:rsid w:val="0061445A"/>
    <w:rsid w:val="006834EE"/>
    <w:rsid w:val="00690093"/>
    <w:rsid w:val="006C308B"/>
    <w:rsid w:val="00740F0E"/>
    <w:rsid w:val="00741B2D"/>
    <w:rsid w:val="007558B0"/>
    <w:rsid w:val="007E2ACA"/>
    <w:rsid w:val="007F55CA"/>
    <w:rsid w:val="00836791"/>
    <w:rsid w:val="00904AFF"/>
    <w:rsid w:val="00976B4A"/>
    <w:rsid w:val="00977A40"/>
    <w:rsid w:val="00982E12"/>
    <w:rsid w:val="00994D5E"/>
    <w:rsid w:val="00997EA9"/>
    <w:rsid w:val="00A92E2B"/>
    <w:rsid w:val="00AA16F4"/>
    <w:rsid w:val="00AB5184"/>
    <w:rsid w:val="00B028AA"/>
    <w:rsid w:val="00B113C6"/>
    <w:rsid w:val="00B72CD2"/>
    <w:rsid w:val="00BA4DA1"/>
    <w:rsid w:val="00BF5E3F"/>
    <w:rsid w:val="00C02371"/>
    <w:rsid w:val="00C4149E"/>
    <w:rsid w:val="00C47CA2"/>
    <w:rsid w:val="00C508AB"/>
    <w:rsid w:val="00CF0BEF"/>
    <w:rsid w:val="00CF263A"/>
    <w:rsid w:val="00D51DFC"/>
    <w:rsid w:val="00D90B34"/>
    <w:rsid w:val="00D93095"/>
    <w:rsid w:val="00D96274"/>
    <w:rsid w:val="00DC3520"/>
    <w:rsid w:val="00E140F1"/>
    <w:rsid w:val="00E2240F"/>
    <w:rsid w:val="00E85CC6"/>
    <w:rsid w:val="00E928F4"/>
    <w:rsid w:val="00EE1081"/>
    <w:rsid w:val="00EF149B"/>
    <w:rsid w:val="00F059C5"/>
    <w:rsid w:val="00F05FCB"/>
    <w:rsid w:val="00F67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1625</Words>
  <Characters>9592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bucharovh</dc:creator>
  <cp:lastModifiedBy>bucharovh</cp:lastModifiedBy>
  <cp:revision>3</cp:revision>
  <cp:lastPrinted>2017-03-07T13:19:00Z</cp:lastPrinted>
  <dcterms:created xsi:type="dcterms:W3CDTF">2017-03-21T12:22:00Z</dcterms:created>
  <dcterms:modified xsi:type="dcterms:W3CDTF">2017-03-21T12:25:00Z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20100/A/2017-HMO2</vt:lpwstr>
  </property>
  <property fmtid="{D5CDD505-2E9C-101B-9397-08002B2CF9AE}" pid="4" name="BARCODE_STOP">
    <vt:lpwstr>@œ</vt:lpwstr>
  </property>
  <property fmtid="{D5CDD505-2E9C-101B-9397-08002B2CF9AE}" pid="5" name="OD_Cj">
    <vt:lpwstr>UZSVM/A/12119/2017-HMO2</vt:lpwstr>
  </property>
  <property fmtid="{D5CDD505-2E9C-101B-9397-08002B2CF9AE}" pid="6" name="Vlastnik">
    <vt:lpwstr>Bucharová Helena</vt:lpwstr>
  </property>
  <property fmtid="{D5CDD505-2E9C-101B-9397-08002B2CF9AE}" pid="7" name="Telefon">
    <vt:lpwstr>+420 225 776 466</vt:lpwstr>
  </property>
  <property fmtid="{D5CDD505-2E9C-101B-9397-08002B2CF9AE}" pid="8" name="Fax">
    <vt:lpwstr>9327</vt:lpwstr>
  </property>
  <property fmtid="{D5CDD505-2E9C-101B-9397-08002B2CF9AE}" pid="9" name="Email">
    <vt:lpwstr>Helena.Bucharova@uzsvm.cz</vt:lpwstr>
  </property>
  <property fmtid="{D5CDD505-2E9C-101B-9397-08002B2CF9AE}" pid="10" name="UtvarTxt">
    <vt:lpwstr>oddělení Hospodaření s majetkem v operativní evidenci II.</vt:lpwstr>
  </property>
  <property fmtid="{D5CDD505-2E9C-101B-9397-08002B2CF9AE}" pid="11" name="UtvarKod">
    <vt:lpwstr>9327</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Vyrozumění vítězi výběrového řízení</vt:lpwstr>
  </property>
  <property fmtid="{D5CDD505-2E9C-101B-9397-08002B2CF9AE}" pid="21" name="AdresaUZSVM">
    <vt:lpwstr>Rašínovo nábřeží 390/42, 128 00 Nové Město, Praha 2</vt:lpwstr>
  </property>
  <property fmtid="{D5CDD505-2E9C-101B-9397-08002B2CF9AE}" pid="22" name="AdresaUP">
    <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81149468</vt:lpwstr>
  </property>
  <property fmtid="{D5CDD505-2E9C-101B-9397-08002B2CF9AE}" pid="26" name="NazevUP">
    <vt:lpwstr>Ústředí</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property>
  <property fmtid="{D5CDD505-2E9C-101B-9397-08002B2CF9AE}" pid="30" name="VytvorenDne">
    <vt:lpwstr>06.03.2017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µ#20100/A/2017-HMO2@w¸</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