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332" w14:textId="77777777" w:rsidR="00257652" w:rsidRDefault="00235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alatino Linotype" w:eastAsia="Palatino Linotype" w:hAnsi="Palatino Linotype" w:cs="Palatino Linotype"/>
          <w:color w:val="0070C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</w:p>
    <w:p w14:paraId="7565702C" w14:textId="77777777" w:rsidR="00257652" w:rsidRDefault="00235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 xml:space="preserve">STUDY ABROAD AGREEMENT </w:t>
      </w:r>
    </w:p>
    <w:p w14:paraId="4F8D2BDD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75D8A79B" w14:textId="77777777" w:rsidR="00257652" w:rsidRDefault="00235DF0">
      <w:pPr>
        <w:ind w:left="0" w:hanging="2"/>
        <w:jc w:val="left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Between</w:t>
      </w:r>
      <w:proofErr w:type="spellEnd"/>
    </w:p>
    <w:p w14:paraId="13A2DBD9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69D8D518" w14:textId="77777777" w:rsidR="00257652" w:rsidRDefault="00235DF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 xml:space="preserve">ESME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Sudria</w:t>
      </w:r>
      <w:proofErr w:type="spellEnd"/>
    </w:p>
    <w:p w14:paraId="3E73DB93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 </w:t>
      </w:r>
      <w:proofErr w:type="spellStart"/>
      <w:r>
        <w:rPr>
          <w:rFonts w:ascii="Palatino Linotype" w:eastAsia="Palatino Linotype" w:hAnsi="Palatino Linotype" w:cs="Palatino Linotype"/>
        </w:rPr>
        <w:t>private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higher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education</w:t>
      </w:r>
      <w:proofErr w:type="spellEnd"/>
      <w:r>
        <w:rPr>
          <w:rFonts w:ascii="Palatino Linotype" w:eastAsia="Palatino Linotype" w:hAnsi="Palatino Linotype" w:cs="Palatino Linotype"/>
        </w:rPr>
        <w:t xml:space="preserve"> institution </w:t>
      </w:r>
      <w:proofErr w:type="spellStart"/>
      <w:r>
        <w:rPr>
          <w:rFonts w:ascii="Palatino Linotype" w:eastAsia="Palatino Linotype" w:hAnsi="Palatino Linotype" w:cs="Palatino Linotype"/>
        </w:rPr>
        <w:t>recognized</w:t>
      </w:r>
      <w:proofErr w:type="spellEnd"/>
      <w:r>
        <w:rPr>
          <w:rFonts w:ascii="Palatino Linotype" w:eastAsia="Palatino Linotype" w:hAnsi="Palatino Linotype" w:cs="Palatino Linotype"/>
        </w:rPr>
        <w:t xml:space="preserve"> by the French </w:t>
      </w:r>
      <w:proofErr w:type="spellStart"/>
      <w:r>
        <w:rPr>
          <w:rFonts w:ascii="Palatino Linotype" w:eastAsia="Palatino Linotype" w:hAnsi="Palatino Linotype" w:cs="Palatino Linotype"/>
        </w:rPr>
        <w:t>government</w:t>
      </w:r>
      <w:proofErr w:type="spellEnd"/>
    </w:p>
    <w:p w14:paraId="7DBB78C8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</w:rPr>
        <w:t>Headquartered</w:t>
      </w:r>
      <w:proofErr w:type="spellEnd"/>
      <w:r>
        <w:rPr>
          <w:rFonts w:ascii="Palatino Linotype" w:eastAsia="Palatino Linotype" w:hAnsi="Palatino Linotype" w:cs="Palatino Linotype"/>
        </w:rPr>
        <w:t xml:space="preserve"> at 38, rue Molière, 94200 Ivry sur Seine</w:t>
      </w:r>
    </w:p>
    <w:p w14:paraId="1C157D74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Represented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its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Directeur General Véronique BONNET</w:t>
      </w:r>
    </w:p>
    <w:p w14:paraId="7F7A9B16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Hereinafter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referred</w:t>
      </w:r>
      <w:proofErr w:type="spellEnd"/>
      <w:r>
        <w:rPr>
          <w:rFonts w:ascii="Palatino Linotype" w:eastAsia="Palatino Linotype" w:hAnsi="Palatino Linotype" w:cs="Palatino Linotype"/>
        </w:rPr>
        <w:t xml:space="preserve"> to as "ESME", on the one hand,</w:t>
      </w:r>
    </w:p>
    <w:p w14:paraId="1D9C93EE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1AE3CB88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And</w:t>
      </w:r>
    </w:p>
    <w:p w14:paraId="3003F17B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2253C3B1" w14:textId="77777777" w:rsidR="00257652" w:rsidRDefault="00235DF0">
      <w:pPr>
        <w:ind w:left="1" w:hanging="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CVUT FIT &amp; FEL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 </w:t>
      </w:r>
    </w:p>
    <w:p w14:paraId="02872623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Czech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Technical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University</w:t>
      </w:r>
      <w:proofErr w:type="spellEnd"/>
      <w:r>
        <w:rPr>
          <w:rFonts w:ascii="Palatino Linotype" w:eastAsia="Palatino Linotype" w:hAnsi="Palatino Linotype" w:cs="Palatino Linotype"/>
        </w:rPr>
        <w:t xml:space="preserve"> in Prague, </w:t>
      </w:r>
      <w:proofErr w:type="spellStart"/>
      <w:r>
        <w:rPr>
          <w:rFonts w:ascii="Palatino Linotype" w:eastAsia="Palatino Linotype" w:hAnsi="Palatino Linotype" w:cs="Palatino Linotype"/>
        </w:rPr>
        <w:t>Faculty</w:t>
      </w:r>
      <w:proofErr w:type="spellEnd"/>
      <w:r>
        <w:rPr>
          <w:rFonts w:ascii="Palatino Linotype" w:eastAsia="Palatino Linotype" w:hAnsi="Palatino Linotype" w:cs="Palatino Linotype"/>
        </w:rPr>
        <w:t xml:space="preserve"> of Information </w:t>
      </w:r>
      <w:proofErr w:type="spellStart"/>
      <w:r>
        <w:rPr>
          <w:rFonts w:ascii="Palatino Linotype" w:eastAsia="Palatino Linotype" w:hAnsi="Palatino Linotype" w:cs="Palatino Linotype"/>
        </w:rPr>
        <w:t>Technology</w:t>
      </w:r>
      <w:proofErr w:type="spellEnd"/>
      <w:r>
        <w:rPr>
          <w:rFonts w:ascii="Palatino Linotype" w:eastAsia="Palatino Linotype" w:hAnsi="Palatino Linotype" w:cs="Palatino Linotype"/>
        </w:rPr>
        <w:t>,</w:t>
      </w:r>
      <w:r>
        <w:t xml:space="preserve"> </w:t>
      </w:r>
    </w:p>
    <w:p w14:paraId="15CEAF1C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having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its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registered</w:t>
      </w:r>
      <w:proofErr w:type="spellEnd"/>
      <w:r>
        <w:rPr>
          <w:rFonts w:ascii="Palatino Linotype" w:eastAsia="Palatino Linotype" w:hAnsi="Palatino Linotype" w:cs="Palatino Linotype"/>
        </w:rPr>
        <w:t xml:space="preserve"> office at </w:t>
      </w:r>
      <w:proofErr w:type="spellStart"/>
      <w:r>
        <w:rPr>
          <w:rFonts w:ascii="Palatino Linotype" w:eastAsia="Palatino Linotype" w:hAnsi="Palatino Linotype" w:cs="Palatino Linotype"/>
        </w:rPr>
        <w:t>Thákurova</w:t>
      </w:r>
      <w:proofErr w:type="spellEnd"/>
      <w:r>
        <w:rPr>
          <w:rFonts w:ascii="Palatino Linotype" w:eastAsia="Palatino Linotype" w:hAnsi="Palatino Linotype" w:cs="Palatino Linotype"/>
        </w:rPr>
        <w:t xml:space="preserve"> 9, 160 00 </w:t>
      </w:r>
      <w:proofErr w:type="spellStart"/>
      <w:r>
        <w:rPr>
          <w:rFonts w:ascii="Palatino Linotype" w:eastAsia="Palatino Linotype" w:hAnsi="Palatino Linotype" w:cs="Palatino Linotype"/>
        </w:rPr>
        <w:t>Praha</w:t>
      </w:r>
      <w:proofErr w:type="spellEnd"/>
      <w:r>
        <w:rPr>
          <w:rFonts w:ascii="Palatino Linotype" w:eastAsia="Palatino Linotype" w:hAnsi="Palatino Linotype" w:cs="Palatino Linotype"/>
        </w:rPr>
        <w:t xml:space="preserve"> 6, </w:t>
      </w:r>
      <w:proofErr w:type="spellStart"/>
      <w:r>
        <w:rPr>
          <w:rFonts w:ascii="Palatino Linotype" w:eastAsia="Palatino Linotype" w:hAnsi="Palatino Linotype" w:cs="Palatino Linotype"/>
        </w:rPr>
        <w:t>Czech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Republic</w:t>
      </w:r>
      <w:proofErr w:type="spellEnd"/>
      <w:r>
        <w:rPr>
          <w:rFonts w:ascii="Palatino Linotype" w:eastAsia="Palatino Linotype" w:hAnsi="Palatino Linotype" w:cs="Palatino Linotype"/>
        </w:rPr>
        <w:t>,</w:t>
      </w:r>
    </w:p>
    <w:p w14:paraId="352086F6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</w:rPr>
        <w:t>Id. No. 68407700</w:t>
      </w:r>
    </w:p>
    <w:p w14:paraId="3BE66847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Represented</w:t>
      </w:r>
      <w:proofErr w:type="spellEnd"/>
      <w:r>
        <w:rPr>
          <w:rFonts w:ascii="Palatino Linotype" w:eastAsia="Palatino Linotype" w:hAnsi="Palatino Linotype" w:cs="Palatino Linotype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</w:rPr>
        <w:t>dean</w:t>
      </w:r>
      <w:proofErr w:type="spellEnd"/>
      <w:r>
        <w:rPr>
          <w:rFonts w:ascii="Palatino Linotype" w:eastAsia="Palatino Linotype" w:hAnsi="Palatino Linotype" w:cs="Palatino Linotype"/>
        </w:rPr>
        <w:t xml:space="preserve"> Assoc. Prof. Marcel </w:t>
      </w:r>
      <w:proofErr w:type="spellStart"/>
      <w:r>
        <w:rPr>
          <w:rFonts w:ascii="Palatino Linotype" w:eastAsia="Palatino Linotype" w:hAnsi="Palatino Linotype" w:cs="Palatino Linotype"/>
        </w:rPr>
        <w:t>Jiřina</w:t>
      </w:r>
      <w:proofErr w:type="spellEnd"/>
    </w:p>
    <w:p w14:paraId="113B4EA0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&amp;</w:t>
      </w:r>
    </w:p>
    <w:p w14:paraId="2B441A02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Czech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Technical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University</w:t>
      </w:r>
      <w:proofErr w:type="spellEnd"/>
      <w:r>
        <w:rPr>
          <w:rFonts w:ascii="Palatino Linotype" w:eastAsia="Palatino Linotype" w:hAnsi="Palatino Linotype" w:cs="Palatino Linotype"/>
        </w:rPr>
        <w:t xml:space="preserve"> in Prague, </w:t>
      </w:r>
      <w:proofErr w:type="spellStart"/>
      <w:r>
        <w:rPr>
          <w:rFonts w:ascii="Palatino Linotype" w:eastAsia="Palatino Linotype" w:hAnsi="Palatino Linotype" w:cs="Palatino Linotype"/>
        </w:rPr>
        <w:t>Faculty</w:t>
      </w:r>
      <w:proofErr w:type="spellEnd"/>
      <w:r>
        <w:rPr>
          <w:rFonts w:ascii="Palatino Linotype" w:eastAsia="Palatino Linotype" w:hAnsi="Palatino Linotype" w:cs="Palatino Linotype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</w:rPr>
        <w:t>Electrical</w:t>
      </w:r>
      <w:proofErr w:type="spellEnd"/>
      <w:r>
        <w:rPr>
          <w:rFonts w:ascii="Palatino Linotype" w:eastAsia="Palatino Linotype" w:hAnsi="Palatino Linotype" w:cs="Palatino Linotype"/>
        </w:rPr>
        <w:t xml:space="preserve"> Engineering, </w:t>
      </w:r>
    </w:p>
    <w:p w14:paraId="6EA675F2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having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its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registered</w:t>
      </w:r>
      <w:proofErr w:type="spellEnd"/>
      <w:r>
        <w:rPr>
          <w:rFonts w:ascii="Palatino Linotype" w:eastAsia="Palatino Linotype" w:hAnsi="Palatino Linotype" w:cs="Palatino Linotype"/>
        </w:rPr>
        <w:t xml:space="preserve"> office at </w:t>
      </w:r>
      <w:proofErr w:type="spellStart"/>
      <w:r>
        <w:rPr>
          <w:rFonts w:ascii="Palatino Linotype" w:eastAsia="Palatino Linotype" w:hAnsi="Palatino Linotype" w:cs="Palatino Linotype"/>
        </w:rPr>
        <w:t>Technicka</w:t>
      </w:r>
      <w:proofErr w:type="spellEnd"/>
      <w:r>
        <w:rPr>
          <w:rFonts w:ascii="Palatino Linotype" w:eastAsia="Palatino Linotype" w:hAnsi="Palatino Linotype" w:cs="Palatino Linotype"/>
        </w:rPr>
        <w:t xml:space="preserve"> 2, 160 00 </w:t>
      </w:r>
      <w:proofErr w:type="spellStart"/>
      <w:r>
        <w:rPr>
          <w:rFonts w:ascii="Palatino Linotype" w:eastAsia="Palatino Linotype" w:hAnsi="Palatino Linotype" w:cs="Palatino Linotype"/>
        </w:rPr>
        <w:t>Praha</w:t>
      </w:r>
      <w:proofErr w:type="spellEnd"/>
      <w:r>
        <w:rPr>
          <w:rFonts w:ascii="Palatino Linotype" w:eastAsia="Palatino Linotype" w:hAnsi="Palatino Linotype" w:cs="Palatino Linotype"/>
        </w:rPr>
        <w:t xml:space="preserve"> 6, </w:t>
      </w:r>
      <w:proofErr w:type="spellStart"/>
      <w:r>
        <w:rPr>
          <w:rFonts w:ascii="Palatino Linotype" w:eastAsia="Palatino Linotype" w:hAnsi="Palatino Linotype" w:cs="Palatino Linotype"/>
        </w:rPr>
        <w:t>Czech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Republic</w:t>
      </w:r>
      <w:proofErr w:type="spellEnd"/>
    </w:p>
    <w:p w14:paraId="0307C01A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Represented</w:t>
      </w:r>
      <w:proofErr w:type="spellEnd"/>
      <w:r>
        <w:rPr>
          <w:rFonts w:ascii="Palatino Linotype" w:eastAsia="Palatino Linotype" w:hAnsi="Palatino Linotype" w:cs="Palatino Linotype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</w:rPr>
        <w:t>dean</w:t>
      </w:r>
      <w:proofErr w:type="spellEnd"/>
      <w:r>
        <w:rPr>
          <w:rFonts w:ascii="Palatino Linotype" w:eastAsia="Palatino Linotype" w:hAnsi="Palatino Linotype" w:cs="Palatino Linotype"/>
        </w:rPr>
        <w:t xml:space="preserve"> Prof. Petr </w:t>
      </w:r>
      <w:proofErr w:type="spellStart"/>
      <w:r>
        <w:rPr>
          <w:rFonts w:ascii="Palatino Linotype" w:eastAsia="Palatino Linotype" w:hAnsi="Palatino Linotype" w:cs="Palatino Linotype"/>
        </w:rPr>
        <w:t>Páta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Ph.D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14:paraId="5B614A3C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3E69C0C2" w14:textId="77777777" w:rsidR="00257652" w:rsidRDefault="00235DF0">
      <w:pPr>
        <w:ind w:left="0" w:hanging="2"/>
        <w:jc w:val="left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Hereinafter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referred</w:t>
      </w:r>
      <w:proofErr w:type="spellEnd"/>
      <w:r>
        <w:rPr>
          <w:rFonts w:ascii="Palatino Linotype" w:eastAsia="Palatino Linotype" w:hAnsi="Palatino Linotype" w:cs="Palatino Linotype"/>
        </w:rPr>
        <w:t xml:space="preserve"> to as “CVUT FIT and CVUT FEL”, on the </w:t>
      </w:r>
      <w:proofErr w:type="spellStart"/>
      <w:r>
        <w:rPr>
          <w:rFonts w:ascii="Palatino Linotype" w:eastAsia="Palatino Linotype" w:hAnsi="Palatino Linotype" w:cs="Palatino Linotype"/>
        </w:rPr>
        <w:t>other</w:t>
      </w:r>
      <w:proofErr w:type="spellEnd"/>
      <w:r>
        <w:rPr>
          <w:rFonts w:ascii="Palatino Linotype" w:eastAsia="Palatino Linotype" w:hAnsi="Palatino Linotype" w:cs="Palatino Linotype"/>
        </w:rPr>
        <w:t xml:space="preserve"> hand</w:t>
      </w:r>
    </w:p>
    <w:p w14:paraId="7A149E9A" w14:textId="77777777" w:rsidR="00257652" w:rsidRDefault="00257652">
      <w:pPr>
        <w:ind w:left="0" w:hanging="2"/>
        <w:jc w:val="center"/>
        <w:rPr>
          <w:rFonts w:ascii="Palatino Linotype" w:eastAsia="Palatino Linotype" w:hAnsi="Palatino Linotype" w:cs="Palatino Linotype"/>
        </w:rPr>
      </w:pPr>
    </w:p>
    <w:p w14:paraId="041568C5" w14:textId="77777777" w:rsidR="00257652" w:rsidRDefault="00235DF0">
      <w:pPr>
        <w:ind w:left="0" w:hanging="2"/>
        <w:jc w:val="center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Hereinafter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collectively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referred</w:t>
      </w:r>
      <w:proofErr w:type="spellEnd"/>
      <w:r>
        <w:rPr>
          <w:rFonts w:ascii="Palatino Linotype" w:eastAsia="Palatino Linotype" w:hAnsi="Palatino Linotype" w:cs="Palatino Linotype"/>
        </w:rPr>
        <w:t xml:space="preserve"> to as "the Parties."</w:t>
      </w:r>
    </w:p>
    <w:p w14:paraId="4460F38E" w14:textId="77777777" w:rsidR="00257652" w:rsidRDefault="00235DF0">
      <w:pPr>
        <w:ind w:left="0" w:hanging="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=§=-=§=</w:t>
      </w:r>
    </w:p>
    <w:p w14:paraId="566C6BF2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</w:rPr>
      </w:pPr>
    </w:p>
    <w:p w14:paraId="18760932" w14:textId="77777777" w:rsidR="00257652" w:rsidRDefault="00235DF0">
      <w:pPr>
        <w:ind w:left="0" w:hanging="2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HE FOLLOWING HAS BEEN AGREED:</w:t>
      </w:r>
    </w:p>
    <w:p w14:paraId="034B7452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ARTICLE 1</w:t>
      </w:r>
    </w:p>
    <w:p w14:paraId="00BA2743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Purpose</w:t>
      </w:r>
      <w:proofErr w:type="spellEnd"/>
    </w:p>
    <w:p w14:paraId="0080F509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purpose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establish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terms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tailor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-made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abroad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Programme in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field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Engineering Science (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hereinafter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referred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as "the Programme").</w:t>
      </w:r>
    </w:p>
    <w:p w14:paraId="6E450D83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color w:val="0070C0"/>
          <w:sz w:val="22"/>
          <w:szCs w:val="22"/>
        </w:rPr>
      </w:pPr>
    </w:p>
    <w:p w14:paraId="6A2450F5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The Parties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agree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entitle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obtain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egree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issued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the host institution. </w:t>
      </w:r>
    </w:p>
    <w:p w14:paraId="0E42A87D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2E4682F3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This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consists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one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appendix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detailing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courses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included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programme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well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related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. In the case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change or update to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appendix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other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party must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notified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quickly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as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possible.</w:t>
      </w:r>
    </w:p>
    <w:p w14:paraId="621A7F50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agreement the “Home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university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”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ESME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Sudria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The “Host institution”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includes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both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Faculty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Information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Technology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(FIT) and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Faculty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Electrical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Engineering (FEL).</w:t>
      </w:r>
    </w:p>
    <w:p w14:paraId="2D931481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ARTICLE 2</w:t>
      </w:r>
    </w:p>
    <w:p w14:paraId="7E8656AD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Coordination</w:t>
      </w:r>
    </w:p>
    <w:p w14:paraId="02B8256F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administrative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overall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coordi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nation of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provided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</w:p>
    <w:p w14:paraId="6D80CD17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0148ED4A" w14:textId="77777777" w:rsidR="00257652" w:rsidRDefault="00235DF0">
      <w:pPr>
        <w:numPr>
          <w:ilvl w:val="0"/>
          <w:numId w:val="2"/>
        </w:num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for ESME, the International Office. </w:t>
      </w:r>
    </w:p>
    <w:p w14:paraId="65C3D2B9" w14:textId="77777777" w:rsidR="00257652" w:rsidRDefault="00235DF0">
      <w:pPr>
        <w:numPr>
          <w:ilvl w:val="0"/>
          <w:numId w:val="2"/>
        </w:num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for CVUT,  “the International Office”</w:t>
      </w:r>
    </w:p>
    <w:p w14:paraId="2477EECF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281133D9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academic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coordination of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provided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</w:p>
    <w:p w14:paraId="36FECB99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67D57629" w14:textId="77777777" w:rsidR="00257652" w:rsidRDefault="00235DF0">
      <w:pPr>
        <w:numPr>
          <w:ilvl w:val="0"/>
          <w:numId w:val="2"/>
        </w:num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for ESME, the International Office. </w:t>
      </w:r>
    </w:p>
    <w:p w14:paraId="0322EAF9" w14:textId="77777777" w:rsidR="00257652" w:rsidRDefault="00235DF0">
      <w:pPr>
        <w:numPr>
          <w:ilvl w:val="0"/>
          <w:numId w:val="2"/>
        </w:num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for CVUT, FIT and FEL</w:t>
      </w:r>
    </w:p>
    <w:p w14:paraId="6D9D1165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3DB13FB6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In the case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change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coordinating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unit,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other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party must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notified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quickly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possible.</w:t>
      </w:r>
    </w:p>
    <w:p w14:paraId="53E608CD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ARTICLE 3</w:t>
      </w:r>
    </w:p>
    <w:p w14:paraId="3AEC7897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Programme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Terms</w:t>
      </w:r>
      <w:proofErr w:type="spellEnd"/>
    </w:p>
    <w:p w14:paraId="1CDB03B6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NUMBER OF STUDENTS</w:t>
      </w:r>
    </w:p>
    <w:p w14:paraId="192A2234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CVUT FIT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able to host a maximum of 12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one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semester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006EEA81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FF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CVUT FEL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able to host a maximum of 20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one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semester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3A270086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STUDENT PROFILE</w:t>
      </w:r>
    </w:p>
    <w:p w14:paraId="054BEE39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participate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Programme,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must have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successfully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passe</w:t>
      </w:r>
      <w:r>
        <w:rPr>
          <w:rFonts w:ascii="Palatino Linotype" w:eastAsia="Palatino Linotype" w:hAnsi="Palatino Linotype" w:cs="Palatino Linotype"/>
          <w:sz w:val="22"/>
          <w:szCs w:val="22"/>
        </w:rPr>
        <w:t>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4CFEC1F8" w14:textId="77777777" w:rsidR="00257652" w:rsidRDefault="00235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Minimum English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allowing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them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to follow courses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taught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in English in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Programme: IELTS B2;</w:t>
      </w:r>
    </w:p>
    <w:p w14:paraId="646428F3" w14:textId="77777777" w:rsidR="00257652" w:rsidRDefault="00235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Minimum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academic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allowing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them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to follow courses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taught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in the Programme.</w:t>
      </w:r>
    </w:p>
    <w:p w14:paraId="7183D4A8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lastRenderedPageBreak/>
        <w:t>SELECTION OF CANDIDATES FOR MOBILITY</w:t>
      </w:r>
    </w:p>
    <w:p w14:paraId="69821DD3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It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responsibil</w:t>
      </w:r>
      <w:r>
        <w:rPr>
          <w:rFonts w:ascii="Palatino Linotype" w:eastAsia="Palatino Linotype" w:hAnsi="Palatino Linotype" w:cs="Palatino Linotype"/>
          <w:sz w:val="22"/>
          <w:szCs w:val="22"/>
        </w:rPr>
        <w:t>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home institution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-select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wishing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participate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based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on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criteria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student's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academic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relevance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student's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project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light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partner's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educational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offering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and minimum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langu</w:t>
      </w:r>
      <w:r>
        <w:rPr>
          <w:rFonts w:ascii="Palatino Linotype" w:eastAsia="Palatino Linotype" w:hAnsi="Palatino Linotype" w:cs="Palatino Linotype"/>
          <w:sz w:val="22"/>
          <w:szCs w:val="22"/>
        </w:rPr>
        <w:t>age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required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3FBF1DF7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color w:val="0070C0"/>
          <w:sz w:val="22"/>
          <w:szCs w:val="22"/>
        </w:rPr>
      </w:pPr>
    </w:p>
    <w:p w14:paraId="21ED5F4E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applying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must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procedures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application dates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communicated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host institution. </w:t>
      </w:r>
    </w:p>
    <w:p w14:paraId="2A6DED42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5633C01C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host institution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conduct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definitive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selection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evaluating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application files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based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these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criteria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send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list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selected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home institution. </w:t>
      </w:r>
    </w:p>
    <w:p w14:paraId="1A5DE8C9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1FB82F1A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CVUT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accept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a proof of English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letter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from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ESME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Department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Languages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level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based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on a In-House IELTS test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taken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at ESME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prior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77F3C83E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5E55DD85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CALENDAR</w:t>
      </w:r>
    </w:p>
    <w:p w14:paraId="1F201FD8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at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partner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institution corresponds to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one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emester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.</w:t>
      </w:r>
    </w:p>
    <w:p w14:paraId="2E7263DB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756D9FD9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participating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Programme must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semester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start and end dates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stipulated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host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institution's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university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calendar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semester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start and end dates are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communicated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to ESME and to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on 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annual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basis.</w:t>
      </w:r>
    </w:p>
    <w:p w14:paraId="099A3921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COURSE VAL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IDATION</w:t>
      </w:r>
    </w:p>
    <w:p w14:paraId="7C8E4CAD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courses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Programme are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detailed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Appendix 1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agreement. </w:t>
      </w:r>
    </w:p>
    <w:p w14:paraId="7A2070B2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This agreement must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signed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prior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to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beginning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of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may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modified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up to one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month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at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latest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after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beginning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of t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he courses by agreement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among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three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parties.</w:t>
      </w:r>
    </w:p>
    <w:p w14:paraId="49905393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40E3126F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take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place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under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supervision of the host institution, and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required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take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such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examinations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other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assessments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required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accordance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rules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said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institution. </w:t>
      </w:r>
    </w:p>
    <w:p w14:paraId="6246F29B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56D60CAF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At the end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the host institution must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submit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home institution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transcript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grades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issued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within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five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weeks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publication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results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The validation of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student's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universi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curriculum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responsibility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of the home institution.</w:t>
      </w:r>
    </w:p>
    <w:p w14:paraId="6CB17063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WELCOME OF STUDENTS AT HOST INSTITUTION</w:t>
      </w:r>
    </w:p>
    <w:p w14:paraId="6E31657F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Host institution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undertakes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provide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ESME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Sudria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780FA9C0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assistance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obtaining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visa;</w:t>
      </w:r>
    </w:p>
    <w:p w14:paraId="0BF02B41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assistance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completi</w:t>
      </w:r>
      <w:r>
        <w:rPr>
          <w:rFonts w:ascii="Palatino Linotype" w:eastAsia="Palatino Linotype" w:hAnsi="Palatino Linotype" w:cs="Palatino Linotype"/>
          <w:sz w:val="22"/>
          <w:szCs w:val="22"/>
        </w:rPr>
        <w:t>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administrative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procedures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;</w:t>
      </w:r>
    </w:p>
    <w:p w14:paraId="17B823DF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lastRenderedPageBreak/>
        <w:t xml:space="preserve">assistance in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finding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accommodation (at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university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dormitory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or at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hostel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);</w:t>
      </w:r>
    </w:p>
    <w:p w14:paraId="0E44F1E3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assistance in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finding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required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accommodation in the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event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of the national self-isolation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requirement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; </w:t>
      </w:r>
    </w:p>
    <w:p w14:paraId="06005D12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Faculty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involved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in provision of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Study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programmes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referred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in Appendix 1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appoint 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tutor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to support the group of ESME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Sudria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;</w:t>
      </w:r>
    </w:p>
    <w:p w14:paraId="56FF3994" w14:textId="77777777" w:rsidR="00257652" w:rsidRDefault="00235DF0">
      <w:pPr>
        <w:numPr>
          <w:ilvl w:val="0"/>
          <w:numId w:val="3"/>
        </w:num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educa</w:t>
      </w:r>
      <w:r>
        <w:rPr>
          <w:rFonts w:ascii="Palatino Linotype" w:eastAsia="Palatino Linotype" w:hAnsi="Palatino Linotype" w:cs="Palatino Linotype"/>
          <w:sz w:val="22"/>
          <w:szCs w:val="22"/>
        </w:rPr>
        <w:t>tional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advice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guidance;</w:t>
      </w:r>
    </w:p>
    <w:p w14:paraId="1850CBE5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REGISTRATION AND COURSE FEES </w:t>
      </w:r>
    </w:p>
    <w:p w14:paraId="6EAABD98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participating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required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registration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fees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home institution.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Specific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charges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however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are 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</w:p>
    <w:p w14:paraId="27387345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4472C4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semester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enrolled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detailed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appendix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agreement. ESME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Sudria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directly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due balance to the host institution. Funds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cover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Programme are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paid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later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one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month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before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start of the respective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semes</w:t>
      </w:r>
      <w:r>
        <w:rPr>
          <w:rFonts w:ascii="Palatino Linotype" w:eastAsia="Palatino Linotype" w:hAnsi="Palatino Linotype" w:cs="Palatino Linotype"/>
          <w:sz w:val="22"/>
          <w:szCs w:val="22"/>
        </w:rPr>
        <w:t>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3BAAEC11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272F2563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participating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Programme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responsible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all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related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including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</w:p>
    <w:p w14:paraId="56BA1F4E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accommodation,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meals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travel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expenses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;</w:t>
      </w:r>
    </w:p>
    <w:p w14:paraId="3D4FD318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health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insurance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coverage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medical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expenses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covered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health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insurance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;</w:t>
      </w:r>
    </w:p>
    <w:p w14:paraId="3A621ECE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books,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clothes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personal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expenses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;</w:t>
      </w:r>
    </w:p>
    <w:p w14:paraId="61448B91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their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passport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visa;</w:t>
      </w:r>
    </w:p>
    <w:p w14:paraId="1DAB2580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cost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transport;</w:t>
      </w:r>
    </w:p>
    <w:p w14:paraId="49CA6196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-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other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expenses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incurred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during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mobility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740E9945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INSURANCE COVERAGE</w:t>
      </w:r>
    </w:p>
    <w:p w14:paraId="6F1AEDD7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Students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must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regulations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force in the country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where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host institution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located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77234205" w14:textId="77777777" w:rsidR="00257652" w:rsidRDefault="00235DF0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PROGRAMME ASSESSMENT</w:t>
      </w:r>
    </w:p>
    <w:p w14:paraId="1EA8AFD5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At the end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Programme's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validity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period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general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assessment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prepared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prior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possible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renewal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 for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implementation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</w:p>
    <w:p w14:paraId="486E3527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ARTICLE 4</w:t>
      </w:r>
    </w:p>
    <w:p w14:paraId="46F9EA8A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Resolution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of disputes,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validity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renewal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termination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amendments</w:t>
      </w:r>
      <w:proofErr w:type="spellEnd"/>
    </w:p>
    <w:p w14:paraId="7CA79402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4.1 CONFLICT RESOLUTION</w:t>
      </w:r>
    </w:p>
    <w:p w14:paraId="43E615CD" w14:textId="77777777" w:rsidR="00257652" w:rsidRDefault="00257652">
      <w:pPr>
        <w:ind w:left="0" w:hanging="2"/>
      </w:pPr>
    </w:p>
    <w:p w14:paraId="6CDF23B9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conflict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about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regarding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interpretation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non-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validity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execution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termination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the addition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complementary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elements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adaptation to new conditions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resolved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mutual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agreement.</w:t>
      </w:r>
    </w:p>
    <w:p w14:paraId="476A70A2" w14:textId="77777777" w:rsidR="00257652" w:rsidRDefault="00235DF0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he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governed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interpreted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accordance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provisions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laws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European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Union.</w:t>
      </w:r>
    </w:p>
    <w:p w14:paraId="596FDD94" w14:textId="77777777" w:rsidR="00257652" w:rsidRDefault="00235DF0">
      <w:pPr>
        <w:spacing w:after="200" w:line="276" w:lineRule="auto"/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dispute,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controversy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difference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as to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interpretation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settled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amicably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mutual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consent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between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Parties.</w:t>
      </w:r>
    </w:p>
    <w:p w14:paraId="339451BB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Such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consultation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begin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immediately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after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one Party has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delivered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other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Party 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written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request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such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consultation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stating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specifically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nature of dispute,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controvers</w:t>
      </w:r>
      <w:r>
        <w:rPr>
          <w:rFonts w:ascii="Palatino Linotype" w:eastAsia="Palatino Linotype" w:hAnsi="Palatino Linotype" w:cs="Palatino Linotype"/>
          <w:sz w:val="22"/>
          <w:szCs w:val="22"/>
        </w:rPr>
        <w:t>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or claim. If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within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30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days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following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date 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which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such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notice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given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dispute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cannot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resolved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the dispute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exclusively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finally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settled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arbitration, in accordance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Rules of Arbitration of the International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Chamber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Commerce (ICC Rules). The Court of Arbitration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consist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three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Arbitrators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.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decision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Court of Arbitration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final and binding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upon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Parties. The venue of arbitration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Berlin. </w:t>
      </w:r>
    </w:p>
    <w:p w14:paraId="5C103A0A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758F79EE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4.2 VALIDITY AND RENEWAL</w:t>
      </w:r>
    </w:p>
    <w:p w14:paraId="1C4599AC" w14:textId="77777777" w:rsidR="00257652" w:rsidRDefault="00257652">
      <w:pPr>
        <w:ind w:left="0" w:hanging="2"/>
      </w:pPr>
    </w:p>
    <w:p w14:paraId="352518DA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This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enter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into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after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signature by the last of the Parties.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It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valid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for 5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years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</w:t>
      </w:r>
    </w:p>
    <w:p w14:paraId="6B3733F7" w14:textId="77777777" w:rsidR="00257652" w:rsidRDefault="00235DF0">
      <w:pPr>
        <w:tabs>
          <w:tab w:val="left" w:pos="3030"/>
        </w:tabs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3FD18397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expiration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have no impact on the full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completion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cooperation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actions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entered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during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term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valid</w:t>
      </w:r>
      <w:r>
        <w:rPr>
          <w:rFonts w:ascii="Palatino Linotype" w:eastAsia="Palatino Linotype" w:hAnsi="Palatino Linotype" w:cs="Palatino Linotype"/>
          <w:sz w:val="22"/>
          <w:szCs w:val="22"/>
        </w:rPr>
        <w:t>ity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63B2113E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414C6C1D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After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expiration of the agreement and the final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evaluation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cooperation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activities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a new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established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subjected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approval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procedures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force. </w:t>
      </w:r>
    </w:p>
    <w:p w14:paraId="2BDC604A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4066C2DC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4.3 TERMINATION</w:t>
      </w:r>
    </w:p>
    <w:p w14:paraId="414E52CE" w14:textId="77777777" w:rsidR="00257652" w:rsidRDefault="00257652">
      <w:pPr>
        <w:ind w:left="0" w:hanging="2"/>
      </w:pPr>
    </w:p>
    <w:p w14:paraId="74CB7D5A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This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terminated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the Part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ies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with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six (6)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months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'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advance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written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notice.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However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, no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termination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take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place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prior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end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academic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year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prior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the conclusion of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cooperation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activities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underway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3D94E1B4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13A3818C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4.5 REGISTRATION</w:t>
      </w:r>
    </w:p>
    <w:p w14:paraId="02AD9275" w14:textId="77777777" w:rsidR="00257652" w:rsidRDefault="00257652">
      <w:pPr>
        <w:ind w:left="0" w:hanging="2"/>
      </w:pPr>
    </w:p>
    <w:p w14:paraId="57D847A0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The Parties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agree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publish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Agreement i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n the public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register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created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Act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No. 340/2015 Coll. The publication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administered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CTU FIT. The Parties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declare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there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nothing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 or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metadata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should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excluded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from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the publication. </w:t>
      </w:r>
    </w:p>
    <w:p w14:paraId="1F40BD04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119FFE8C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4.6 AMENDMENTS</w:t>
      </w:r>
    </w:p>
    <w:p w14:paraId="41F50E43" w14:textId="77777777" w:rsidR="00257652" w:rsidRDefault="00257652">
      <w:pPr>
        <w:ind w:left="0" w:hanging="2"/>
      </w:pPr>
    </w:p>
    <w:p w14:paraId="7130EC2A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Any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ame</w:t>
      </w:r>
      <w:r>
        <w:rPr>
          <w:rFonts w:ascii="Palatino Linotype" w:eastAsia="Palatino Linotype" w:hAnsi="Palatino Linotype" w:cs="Palatino Linotype"/>
          <w:sz w:val="22"/>
          <w:szCs w:val="22"/>
        </w:rPr>
        <w:t>ndments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made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 or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appendix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by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mutual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consent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established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the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form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of an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amendment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hereto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shall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subjected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an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approval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procedure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identical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to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that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implemented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the establishment of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this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Agreement. </w:t>
      </w:r>
    </w:p>
    <w:p w14:paraId="7CE10090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p w14:paraId="5EDF9783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ARTICLE 5</w:t>
      </w:r>
    </w:p>
    <w:p w14:paraId="42C45887" w14:textId="77777777" w:rsidR="00257652" w:rsidRDefault="00235D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Contract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language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number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of copies</w:t>
      </w:r>
    </w:p>
    <w:p w14:paraId="01850804" w14:textId="77777777" w:rsidR="00257652" w:rsidRDefault="00235DF0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This Agreement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established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two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(2) versions in English and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contains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an Appendix 1 document.</w:t>
      </w:r>
    </w:p>
    <w:p w14:paraId="6791342D" w14:textId="77777777" w:rsidR="00257652" w:rsidRDefault="00257652">
      <w:pPr>
        <w:spacing w:after="240"/>
        <w:ind w:left="0" w:hanging="2"/>
        <w:rPr>
          <w:rFonts w:ascii="Palatino Linotype" w:eastAsia="Palatino Linotype" w:hAnsi="Palatino Linotype" w:cs="Palatino Linotype"/>
        </w:rPr>
      </w:pPr>
    </w:p>
    <w:tbl>
      <w:tblPr>
        <w:tblStyle w:val="a1"/>
        <w:tblW w:w="103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7"/>
        <w:gridCol w:w="3702"/>
        <w:gridCol w:w="3465"/>
      </w:tblGrid>
      <w:tr w:rsidR="00257652" w14:paraId="703D0650" w14:textId="77777777">
        <w:tc>
          <w:tcPr>
            <w:tcW w:w="3227" w:type="dxa"/>
          </w:tcPr>
          <w:p w14:paraId="488BA16D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For ESME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Sudria</w:t>
            </w:r>
            <w:proofErr w:type="spellEnd"/>
          </w:p>
          <w:p w14:paraId="2FBCBA4D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Paris, on .... / .... / 2021</w:t>
            </w:r>
          </w:p>
        </w:tc>
        <w:tc>
          <w:tcPr>
            <w:tcW w:w="3702" w:type="dxa"/>
          </w:tcPr>
          <w:p w14:paraId="7643DE6E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For CVUT FIT</w:t>
            </w:r>
          </w:p>
          <w:p w14:paraId="24B92696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Prague, on .... / .... / 2021</w:t>
            </w:r>
          </w:p>
        </w:tc>
        <w:tc>
          <w:tcPr>
            <w:tcW w:w="3465" w:type="dxa"/>
          </w:tcPr>
          <w:p w14:paraId="6E0A0F72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For CVUT FEL</w:t>
            </w:r>
          </w:p>
          <w:p w14:paraId="12FF8925" w14:textId="77777777" w:rsidR="00257652" w:rsidRDefault="00235DF0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Prague, on .... / .... / 2021</w:t>
            </w:r>
          </w:p>
        </w:tc>
      </w:tr>
      <w:tr w:rsidR="00257652" w14:paraId="7A42AE03" w14:textId="77777777">
        <w:tc>
          <w:tcPr>
            <w:tcW w:w="3227" w:type="dxa"/>
          </w:tcPr>
          <w:p w14:paraId="70281BE7" w14:textId="77777777" w:rsidR="00257652" w:rsidRDefault="00257652">
            <w:pPr>
              <w:spacing w:line="36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702" w:type="dxa"/>
          </w:tcPr>
          <w:p w14:paraId="4DC35C09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465" w:type="dxa"/>
          </w:tcPr>
          <w:p w14:paraId="5AAEAD7E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57652" w14:paraId="09E149CE" w14:textId="77777777">
        <w:tc>
          <w:tcPr>
            <w:tcW w:w="3227" w:type="dxa"/>
          </w:tcPr>
          <w:p w14:paraId="6B1A90DD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702" w:type="dxa"/>
          </w:tcPr>
          <w:p w14:paraId="75345E26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465" w:type="dxa"/>
          </w:tcPr>
          <w:p w14:paraId="750CDF59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57652" w14:paraId="3D502B56" w14:textId="77777777">
        <w:tc>
          <w:tcPr>
            <w:tcW w:w="3227" w:type="dxa"/>
          </w:tcPr>
          <w:p w14:paraId="22D909AD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702" w:type="dxa"/>
          </w:tcPr>
          <w:p w14:paraId="7B550145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465" w:type="dxa"/>
          </w:tcPr>
          <w:p w14:paraId="071EA297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57652" w14:paraId="556CAE55" w14:textId="77777777">
        <w:tc>
          <w:tcPr>
            <w:tcW w:w="3227" w:type="dxa"/>
          </w:tcPr>
          <w:p w14:paraId="479B49B9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702" w:type="dxa"/>
          </w:tcPr>
          <w:p w14:paraId="2B6822FD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465" w:type="dxa"/>
          </w:tcPr>
          <w:p w14:paraId="55130326" w14:textId="77777777" w:rsidR="00257652" w:rsidRDefault="00257652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257652" w14:paraId="5F17CFF2" w14:textId="77777777">
        <w:tc>
          <w:tcPr>
            <w:tcW w:w="3227" w:type="dxa"/>
          </w:tcPr>
          <w:p w14:paraId="4568D170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Véronique BONNET</w:t>
            </w:r>
          </w:p>
          <w:p w14:paraId="6137985E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</w:rPr>
              <w:t>Director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General</w:t>
            </w:r>
          </w:p>
        </w:tc>
        <w:tc>
          <w:tcPr>
            <w:tcW w:w="3702" w:type="dxa"/>
          </w:tcPr>
          <w:p w14:paraId="2CDD3075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Assoc. Prof. Marcel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Jiřina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Ph.D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3C98B7F8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Dean</w:t>
            </w:r>
          </w:p>
        </w:tc>
        <w:tc>
          <w:tcPr>
            <w:tcW w:w="3465" w:type="dxa"/>
          </w:tcPr>
          <w:p w14:paraId="49D6792A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Prof. Mgr. Petr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Páta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Ph.D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>.</w:t>
            </w:r>
          </w:p>
          <w:p w14:paraId="43F31274" w14:textId="77777777" w:rsidR="00257652" w:rsidRDefault="00235DF0">
            <w:pPr>
              <w:spacing w:line="276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Dean</w:t>
            </w:r>
          </w:p>
        </w:tc>
      </w:tr>
    </w:tbl>
    <w:p w14:paraId="2F914EA8" w14:textId="77777777" w:rsidR="00257652" w:rsidRDefault="00257652">
      <w:pPr>
        <w:ind w:left="0" w:hanging="2"/>
        <w:rPr>
          <w:rFonts w:ascii="Palatino Linotype" w:eastAsia="Palatino Linotype" w:hAnsi="Palatino Linotype" w:cs="Palatino Linotype"/>
          <w:sz w:val="22"/>
          <w:szCs w:val="22"/>
        </w:rPr>
      </w:pPr>
    </w:p>
    <w:sectPr w:rsidR="00257652">
      <w:headerReference w:type="default" r:id="rId8"/>
      <w:footerReference w:type="even" r:id="rId9"/>
      <w:footerReference w:type="default" r:id="rId10"/>
      <w:pgSz w:w="11906" w:h="16838"/>
      <w:pgMar w:top="284" w:right="851" w:bottom="992" w:left="851" w:header="0" w:footer="2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4230" w14:textId="77777777" w:rsidR="00235DF0" w:rsidRDefault="00235DF0">
      <w:pPr>
        <w:spacing w:line="240" w:lineRule="auto"/>
        <w:ind w:left="0" w:hanging="2"/>
      </w:pPr>
      <w:r>
        <w:separator/>
      </w:r>
    </w:p>
  </w:endnote>
  <w:endnote w:type="continuationSeparator" w:id="0">
    <w:p w14:paraId="05367D6A" w14:textId="77777777" w:rsidR="00235DF0" w:rsidRDefault="00235D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7672" w14:textId="77777777" w:rsidR="00257652" w:rsidRDefault="00235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DAE9CD" w14:textId="77777777" w:rsidR="00257652" w:rsidRDefault="002576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4A41" w14:textId="77777777" w:rsidR="00257652" w:rsidRDefault="00235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5F2BBA">
      <w:rPr>
        <w:b/>
        <w:color w:val="000000"/>
      </w:rPr>
      <w:fldChar w:fldCharType="separate"/>
    </w:r>
    <w:r w:rsidR="005F2BB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5F2BBA">
      <w:rPr>
        <w:b/>
        <w:color w:val="000000"/>
      </w:rPr>
      <w:fldChar w:fldCharType="separate"/>
    </w:r>
    <w:r w:rsidR="005F2BB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1F46347" w14:textId="77777777" w:rsidR="00257652" w:rsidRDefault="002576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DF88" w14:textId="77777777" w:rsidR="00235DF0" w:rsidRDefault="00235DF0">
      <w:pPr>
        <w:spacing w:line="240" w:lineRule="auto"/>
        <w:ind w:left="0" w:hanging="2"/>
      </w:pPr>
      <w:r>
        <w:separator/>
      </w:r>
    </w:p>
  </w:footnote>
  <w:footnote w:type="continuationSeparator" w:id="0">
    <w:p w14:paraId="438BC7BB" w14:textId="77777777" w:rsidR="00235DF0" w:rsidRDefault="00235D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00AB" w14:textId="77777777" w:rsidR="00257652" w:rsidRDefault="002576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line="240" w:lineRule="auto"/>
      <w:ind w:left="0" w:hanging="2"/>
      <w:rPr>
        <w:color w:val="000000"/>
      </w:rPr>
    </w:pPr>
  </w:p>
  <w:tbl>
    <w:tblPr>
      <w:tblStyle w:val="a2"/>
      <w:tblW w:w="10420" w:type="dxa"/>
      <w:tblInd w:w="0" w:type="dxa"/>
      <w:tblLayout w:type="fixed"/>
      <w:tblLook w:val="0000" w:firstRow="0" w:lastRow="0" w:firstColumn="0" w:lastColumn="0" w:noHBand="0" w:noVBand="0"/>
    </w:tblPr>
    <w:tblGrid>
      <w:gridCol w:w="5493"/>
      <w:gridCol w:w="4927"/>
    </w:tblGrid>
    <w:tr w:rsidR="00257652" w14:paraId="1100962E" w14:textId="77777777">
      <w:tc>
        <w:tcPr>
          <w:tcW w:w="5493" w:type="dxa"/>
        </w:tcPr>
        <w:p w14:paraId="35034DE7" w14:textId="77777777" w:rsidR="00257652" w:rsidRDefault="00235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9357ED9" wp14:editId="54501D2D">
                <wp:extent cx="2098040" cy="1294765"/>
                <wp:effectExtent l="0" t="0" r="0" b="0"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1294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5AD07015" w14:textId="77777777" w:rsidR="00257652" w:rsidRDefault="002576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8"/>
              <w:szCs w:val="18"/>
            </w:rPr>
          </w:pPr>
        </w:p>
        <w:p w14:paraId="0968B551" w14:textId="77777777" w:rsidR="00257652" w:rsidRDefault="00235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07C3917" wp14:editId="58A6F6DA">
                <wp:extent cx="2905125" cy="953135"/>
                <wp:effectExtent l="0" t="0" r="0" b="0"/>
                <wp:docPr id="10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953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8E2D90" w14:textId="77777777" w:rsidR="00257652" w:rsidRDefault="002576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2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445E"/>
    <w:multiLevelType w:val="multilevel"/>
    <w:tmpl w:val="32B6E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236023"/>
    <w:multiLevelType w:val="multilevel"/>
    <w:tmpl w:val="F1E6972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D190378"/>
    <w:multiLevelType w:val="multilevel"/>
    <w:tmpl w:val="7CA6899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pStyle w:val="Sous-titre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85630E"/>
    <w:multiLevelType w:val="multilevel"/>
    <w:tmpl w:val="A07062AE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52"/>
    <w:rsid w:val="00235DF0"/>
    <w:rsid w:val="00257652"/>
    <w:rsid w:val="005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239"/>
  <w15:docId w15:val="{DB1C3A5A-5CF8-4FBC-A9FD-22B2DAA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="Palatino" w:hAnsi="Palatino" w:cs="Palatino"/>
        <w:sz w:val="24"/>
        <w:szCs w:val="24"/>
        <w:lang w:val="fr-FR" w:eastAsia="cs-CZ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fr-FR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1">
    <w:name w:val="Titre 1"/>
    <w:basedOn w:val="Normln"/>
    <w:next w:val="Normln"/>
    <w:pPr>
      <w:keepNext/>
      <w:keepLines/>
      <w:spacing w:before="600" w:after="360"/>
      <w:contextualSpacing/>
      <w:jc w:val="center"/>
    </w:pPr>
    <w:rPr>
      <w:b/>
    </w:rPr>
  </w:style>
  <w:style w:type="paragraph" w:customStyle="1" w:styleId="Titre2">
    <w:name w:val="Titre 2"/>
    <w:basedOn w:val="Normln"/>
    <w:next w:val="Normln"/>
    <w:pPr>
      <w:keepNext/>
      <w:jc w:val="center"/>
      <w:outlineLvl w:val="1"/>
    </w:pPr>
    <w:rPr>
      <w:b/>
      <w:sz w:val="28"/>
    </w:rPr>
  </w:style>
  <w:style w:type="paragraph" w:customStyle="1" w:styleId="Titre3">
    <w:name w:val="Titre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Policepardfaut">
    <w:name w:val="Police par défaut"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  <w:qFormat/>
  </w:style>
  <w:style w:type="character" w:customStyle="1" w:styleId="Titre1Car">
    <w:name w:val="Titre 1 Car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re2Car">
    <w:name w:val="Titre 2 Car"/>
    <w:rPr>
      <w:rFonts w:ascii="Palatino" w:hAnsi="Palatino"/>
      <w:b/>
      <w:w w:val="100"/>
      <w:position w:val="-1"/>
      <w:sz w:val="28"/>
      <w:effect w:val="none"/>
      <w:vertAlign w:val="baseline"/>
      <w:cs w:val="0"/>
      <w:em w:val="none"/>
      <w:lang w:eastAsia="fr-FR"/>
    </w:rPr>
  </w:style>
  <w:style w:type="character" w:customStyle="1" w:styleId="Titre3Car">
    <w:name w:val="Titre 3 Car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Corpsdetexte">
    <w:name w:val="Corps de texte"/>
    <w:basedOn w:val="Normln"/>
  </w:style>
  <w:style w:type="character" w:customStyle="1" w:styleId="CorpsdetexteCar">
    <w:name w:val="Corps de texte Car"/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val="fr-FR" w:eastAsia="fr-FR"/>
    </w:rPr>
  </w:style>
  <w:style w:type="paragraph" w:customStyle="1" w:styleId="Corpsdetexte2">
    <w:name w:val="Corps de texte 2"/>
    <w:basedOn w:val="Normln"/>
    <w:pPr>
      <w:jc w:val="center"/>
    </w:pPr>
    <w:rPr>
      <w:b/>
      <w:sz w:val="28"/>
    </w:rPr>
  </w:style>
  <w:style w:type="character" w:customStyle="1" w:styleId="Corpsdetexte2Car">
    <w:name w:val="Corps de texte 2 Car"/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val="fr-FR" w:eastAsia="fr-FR"/>
    </w:rPr>
  </w:style>
  <w:style w:type="paragraph" w:customStyle="1" w:styleId="Titre">
    <w:name w:val="Titre"/>
    <w:basedOn w:val="Normln"/>
    <w:pPr>
      <w:jc w:val="center"/>
    </w:pPr>
    <w:rPr>
      <w:sz w:val="28"/>
    </w:rPr>
  </w:style>
  <w:style w:type="character" w:customStyle="1" w:styleId="TitreCar">
    <w:name w:val="Titre Car"/>
    <w:rPr>
      <w:rFonts w:ascii="Palatino" w:hAnsi="Palatino"/>
      <w:w w:val="100"/>
      <w:position w:val="-1"/>
      <w:sz w:val="28"/>
      <w:effect w:val="none"/>
      <w:vertAlign w:val="baseline"/>
      <w:cs w:val="0"/>
      <w:em w:val="none"/>
      <w:lang w:eastAsia="fr-FR"/>
    </w:rPr>
  </w:style>
  <w:style w:type="paragraph" w:customStyle="1" w:styleId="Corpsdetexte3">
    <w:name w:val="Corps de texte 3"/>
    <w:basedOn w:val="Normln"/>
    <w:rPr>
      <w:color w:val="FF0000"/>
    </w:rPr>
  </w:style>
  <w:style w:type="character" w:customStyle="1" w:styleId="Corpsdetexte3Car">
    <w:name w:val="Corps de texte 3 Car"/>
    <w:rPr>
      <w:rFonts w:ascii="Palatino" w:hAnsi="Palatino"/>
      <w:w w:val="100"/>
      <w:position w:val="-1"/>
      <w:sz w:val="16"/>
      <w:szCs w:val="16"/>
      <w:effect w:val="none"/>
      <w:vertAlign w:val="baseline"/>
      <w:cs w:val="0"/>
      <w:em w:val="none"/>
      <w:lang w:val="fr-FR" w:eastAsia="fr-FR"/>
    </w:rPr>
  </w:style>
  <w:style w:type="character" w:customStyle="1" w:styleId="lev">
    <w:name w:val="Élevé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ieddepage">
    <w:name w:val="Pied de page"/>
    <w:basedOn w:val="Normln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4"/>
      <w:effect w:val="none"/>
      <w:vertAlign w:val="baseline"/>
      <w:cs w:val="0"/>
      <w:em w:val="none"/>
      <w:lang w:eastAsia="fr-FR"/>
    </w:rPr>
  </w:style>
  <w:style w:type="character" w:customStyle="1" w:styleId="Numrodepage">
    <w:name w:val="Numéro de page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edebulles">
    <w:name w:val="Texte de bulles"/>
    <w:basedOn w:val="Normln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fr-FR"/>
    </w:rPr>
  </w:style>
  <w:style w:type="paragraph" w:customStyle="1" w:styleId="En-tte">
    <w:name w:val="En-tête"/>
    <w:basedOn w:val="Normln"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4"/>
      <w:effect w:val="none"/>
      <w:vertAlign w:val="baseline"/>
      <w:cs w:val="0"/>
      <w:em w:val="none"/>
      <w:lang w:eastAsia="fr-FR"/>
    </w:rPr>
  </w:style>
  <w:style w:type="character" w:customStyle="1" w:styleId="Marquedecommentaire">
    <w:name w:val="Marque de commentaire"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Commentaire">
    <w:name w:val="Commentaire"/>
    <w:basedOn w:val="Normln"/>
    <w:rPr>
      <w:sz w:val="20"/>
    </w:rPr>
  </w:style>
  <w:style w:type="character" w:customStyle="1" w:styleId="CommentaireCar">
    <w:name w:val="Commentaire Car"/>
    <w:rPr>
      <w:rFonts w:ascii="Palatino" w:hAnsi="Palatino"/>
      <w:w w:val="100"/>
      <w:position w:val="-1"/>
      <w:effect w:val="none"/>
      <w:vertAlign w:val="baseline"/>
      <w:cs w:val="0"/>
      <w:em w:val="none"/>
      <w:lang w:val="fr-FR" w:eastAsia="fr-FR"/>
    </w:rPr>
  </w:style>
  <w:style w:type="paragraph" w:customStyle="1" w:styleId="Objetducommentaire">
    <w:name w:val="Objet du commentaire"/>
    <w:basedOn w:val="Commentaire"/>
    <w:next w:val="Commentaire"/>
    <w:rPr>
      <w:b/>
      <w:bCs/>
    </w:rPr>
  </w:style>
  <w:style w:type="character" w:customStyle="1" w:styleId="ObjetducommentaireCar">
    <w:name w:val="Objet du commentaire Car"/>
    <w:rPr>
      <w:rFonts w:ascii="Palatino" w:hAnsi="Palatino"/>
      <w:b/>
      <w:bCs/>
      <w:w w:val="100"/>
      <w:position w:val="-1"/>
      <w:effect w:val="none"/>
      <w:vertAlign w:val="baseline"/>
      <w:cs w:val="0"/>
      <w:em w:val="none"/>
      <w:lang w:val="fr-FR" w:eastAsia="fr-FR"/>
    </w:rPr>
  </w:style>
  <w:style w:type="character" w:customStyle="1" w:styleId="Style1">
    <w:name w:val="Style1"/>
    <w:rPr>
      <w:w w:val="100"/>
      <w:position w:val="-1"/>
      <w:effect w:val="none"/>
      <w:vertAlign w:val="baseline"/>
      <w:cs w:val="0"/>
      <w:em w:val="none"/>
    </w:rPr>
  </w:style>
  <w:style w:type="paragraph" w:customStyle="1" w:styleId="Sous-titre">
    <w:name w:val="Sous-titre"/>
    <w:basedOn w:val="Normln"/>
    <w:next w:val="Normln"/>
    <w:pPr>
      <w:keepNext/>
      <w:keepLines/>
      <w:numPr>
        <w:ilvl w:val="1"/>
        <w:numId w:val="3"/>
      </w:numPr>
      <w:spacing w:before="360" w:after="200"/>
      <w:ind w:left="357" w:hanging="357"/>
    </w:pPr>
  </w:style>
  <w:style w:type="character" w:customStyle="1" w:styleId="Sous-titreCar">
    <w:name w:val="Sous-titre Car"/>
    <w:rPr>
      <w:rFonts w:ascii="Palatino" w:hAnsi="Palatino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Listecouleur-Accent1">
    <w:name w:val="Liste couleur - Accent 1"/>
    <w:basedOn w:val="Normln"/>
    <w:pPr>
      <w:ind w:left="708"/>
    </w:pPr>
  </w:style>
  <w:style w:type="character" w:customStyle="1" w:styleId="Lienhypertexte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enhypertextesuivivisit">
    <w:name w:val="Lien hypertexte suivi visité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tedebasdepage">
    <w:name w:val="Note de bas de page"/>
    <w:basedOn w:val="Normln"/>
    <w:rPr>
      <w:sz w:val="20"/>
    </w:rPr>
  </w:style>
  <w:style w:type="character" w:customStyle="1" w:styleId="NotedebasdepageCar">
    <w:name w:val="Note de bas de page Car"/>
    <w:rPr>
      <w:rFonts w:ascii="Palatino" w:hAnsi="Palatino"/>
      <w:w w:val="100"/>
      <w:position w:val="-1"/>
      <w:effect w:val="none"/>
      <w:vertAlign w:val="baseline"/>
      <w:cs w:val="0"/>
      <w:em w:val="none"/>
    </w:rPr>
  </w:style>
  <w:style w:type="character" w:customStyle="1" w:styleId="Appelnotedebasdep">
    <w:name w:val="Appel note de bas de p.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soins0">
    <w:name w:val="msoins"/>
    <w:rPr>
      <w:w w:val="100"/>
      <w:position w:val="-1"/>
      <w:effect w:val="none"/>
      <w:vertAlign w:val="baseline"/>
      <w:cs w:val="0"/>
      <w:em w:val="none"/>
    </w:rPr>
  </w:style>
  <w:style w:type="character" w:customStyle="1" w:styleId="msodel0">
    <w:name w:val="msodel"/>
    <w:rPr>
      <w:w w:val="100"/>
      <w:position w:val="-1"/>
      <w:effect w:val="none"/>
      <w:vertAlign w:val="baseline"/>
      <w:cs w:val="0"/>
      <w:em w:val="none"/>
    </w:rPr>
  </w:style>
  <w:style w:type="character" w:customStyle="1" w:styleId="tw4winMark">
    <w:name w:val="tw4winMark"/>
    <w:rPr>
      <w:rFonts w:ascii="Courier New" w:hAnsi="Courier New"/>
      <w:vanish/>
      <w:color w:val="800080"/>
      <w:w w:val="100"/>
      <w:position w:val="-1"/>
      <w:effect w:val="none"/>
      <w:vertAlign w:val="subscript"/>
      <w:cs w:val="0"/>
      <w:em w:val="none"/>
    </w:rPr>
  </w:style>
  <w:style w:type="character" w:customStyle="1" w:styleId="Mentionnonrsolue">
    <w:name w:val="Mention non résolu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Grilledutableau">
    <w:name w:val="Grille du tableau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27E41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L1xQhBH899/XmmvgJtNBJkB9A==">AMUW2mVjegIvGRQ+6fxyexbKcAsMFuffp/g1mcB/3N7jCWyG0EsZwcDpK5vTTWFpAWww2sS6M2n+8Fxr0PVPL+UZgXTgySHTVUoHJnkOkP7EbVI5vf+J0LBB2fMHxwxCfwhZ+wy8HgsV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GRELLOIS</dc:creator>
  <cp:lastModifiedBy>Louckova, Marketa</cp:lastModifiedBy>
  <cp:revision>2</cp:revision>
  <dcterms:created xsi:type="dcterms:W3CDTF">2021-04-26T06:39:00Z</dcterms:created>
  <dcterms:modified xsi:type="dcterms:W3CDTF">2021-04-26T06:39:00Z</dcterms:modified>
</cp:coreProperties>
</file>