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CD" w:rsidRDefault="000D103F">
      <w:pPr>
        <w:spacing w:before="80" w:line="425" w:lineRule="exact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1200500015</w:t>
      </w:r>
    </w:p>
    <w:p w:rsidR="00782ECD" w:rsidRDefault="000D103F">
      <w:pPr>
        <w:spacing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782ECD" w:rsidRDefault="000D103F">
      <w:pPr>
        <w:spacing w:before="2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782ECD" w:rsidRDefault="00782ECD">
      <w:pPr>
        <w:pStyle w:val="Zkladntext"/>
        <w:spacing w:before="11"/>
        <w:ind w:left="0"/>
        <w:jc w:val="left"/>
        <w:rPr>
          <w:sz w:val="59"/>
        </w:rPr>
      </w:pPr>
    </w:p>
    <w:p w:rsidR="00782ECD" w:rsidRDefault="000D103F">
      <w:pPr>
        <w:pStyle w:val="Zkladntext"/>
        <w:ind w:left="242"/>
        <w:jc w:val="left"/>
      </w:pPr>
      <w:r>
        <w:t>Smluvní strany</w:t>
      </w: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0D103F">
      <w:pPr>
        <w:pStyle w:val="Nadpis1"/>
        <w:spacing w:before="187"/>
        <w:ind w:left="242"/>
        <w:jc w:val="left"/>
      </w:pPr>
      <w:r>
        <w:t>Státní fond životního prostředí České republiky</w:t>
      </w:r>
    </w:p>
    <w:p w:rsidR="00782ECD" w:rsidRDefault="000D103F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782ECD" w:rsidRDefault="000D103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782ECD" w:rsidRDefault="000D103F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782ECD" w:rsidRDefault="000D103F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782ECD" w:rsidRDefault="000D103F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782ECD" w:rsidRDefault="000D103F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82ECD" w:rsidRDefault="000D103F">
      <w:pPr>
        <w:pStyle w:val="Zkladntext"/>
        <w:spacing w:line="477" w:lineRule="auto"/>
        <w:ind w:left="242" w:right="7967"/>
        <w:jc w:val="left"/>
      </w:pPr>
      <w:r>
        <w:t>(dále jen „Fond") a</w:t>
      </w:r>
    </w:p>
    <w:p w:rsidR="00782ECD" w:rsidRDefault="000D103F">
      <w:pPr>
        <w:pStyle w:val="Nadpis1"/>
        <w:spacing w:before="5"/>
        <w:ind w:left="242"/>
        <w:jc w:val="left"/>
      </w:pPr>
      <w:r>
        <w:t>město Svoboda nad Úpou</w:t>
      </w:r>
    </w:p>
    <w:p w:rsidR="00782ECD" w:rsidRDefault="000D103F">
      <w:pPr>
        <w:pStyle w:val="Zkladntext"/>
        <w:tabs>
          <w:tab w:val="left" w:pos="3122"/>
        </w:tabs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10"/>
        </w:rPr>
        <w:t xml:space="preserve"> </w:t>
      </w:r>
      <w:r>
        <w:t>úřad</w:t>
      </w:r>
      <w:r>
        <w:rPr>
          <w:spacing w:val="-12"/>
        </w:rPr>
        <w:t xml:space="preserve"> </w:t>
      </w:r>
      <w:r>
        <w:t>Svoboda</w:t>
      </w:r>
      <w:r>
        <w:rPr>
          <w:spacing w:val="-9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Úpou,</w:t>
      </w:r>
      <w:r>
        <w:rPr>
          <w:spacing w:val="-12"/>
        </w:rPr>
        <w:t xml:space="preserve"> </w:t>
      </w:r>
      <w:r>
        <w:t>nám.</w:t>
      </w:r>
      <w:r>
        <w:rPr>
          <w:spacing w:val="-12"/>
        </w:rPr>
        <w:t xml:space="preserve"> </w:t>
      </w:r>
      <w:r>
        <w:t>Svornosti</w:t>
      </w:r>
      <w:r>
        <w:rPr>
          <w:spacing w:val="-12"/>
        </w:rPr>
        <w:t xml:space="preserve"> </w:t>
      </w:r>
      <w:r>
        <w:t>474,</w:t>
      </w:r>
      <w:r>
        <w:rPr>
          <w:spacing w:val="-12"/>
        </w:rPr>
        <w:t xml:space="preserve"> </w:t>
      </w:r>
      <w:r>
        <w:t>542</w:t>
      </w:r>
      <w:r>
        <w:rPr>
          <w:spacing w:val="-11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Svoboda</w:t>
      </w:r>
      <w:r>
        <w:rPr>
          <w:spacing w:val="-12"/>
        </w:rPr>
        <w:t xml:space="preserve"> </w:t>
      </w:r>
      <w:r>
        <w:t>nad</w:t>
      </w:r>
    </w:p>
    <w:p w:rsidR="00782ECD" w:rsidRDefault="000D103F">
      <w:pPr>
        <w:pStyle w:val="Zkladntext"/>
        <w:spacing w:before="1"/>
        <w:ind w:left="3122"/>
        <w:jc w:val="left"/>
      </w:pPr>
      <w:r>
        <w:t>Úpou</w:t>
      </w:r>
    </w:p>
    <w:p w:rsidR="00782ECD" w:rsidRDefault="000D103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00278335</w:t>
      </w:r>
    </w:p>
    <w:p w:rsidR="00782ECD" w:rsidRDefault="000D103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zastoupené:</w:t>
      </w:r>
      <w:r>
        <w:tab/>
        <w:t>Mgr. Petrem T ý f o u,</w:t>
      </w:r>
      <w:r>
        <w:rPr>
          <w:spacing w:val="-1"/>
        </w:rPr>
        <w:t xml:space="preserve"> </w:t>
      </w:r>
      <w:r>
        <w:t>starostou</w:t>
      </w:r>
    </w:p>
    <w:p w:rsidR="00782ECD" w:rsidRDefault="000D103F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104254" w:rsidRPr="00104254">
        <w:rPr>
          <w:highlight w:val="yellow"/>
        </w:rPr>
        <w:t>xxxx</w:t>
      </w:r>
    </w:p>
    <w:p w:rsidR="00782ECD" w:rsidRDefault="000D103F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04254" w:rsidRPr="00104254">
        <w:rPr>
          <w:highlight w:val="yellow"/>
        </w:rPr>
        <w:t>xxxx</w:t>
      </w:r>
      <w:bookmarkStart w:id="0" w:name="_GoBack"/>
      <w:bookmarkEnd w:id="0"/>
    </w:p>
    <w:p w:rsidR="00782ECD" w:rsidRDefault="000D103F">
      <w:pPr>
        <w:pStyle w:val="Zkladntext"/>
        <w:spacing w:before="1"/>
        <w:ind w:left="242"/>
        <w:jc w:val="left"/>
      </w:pPr>
      <w:r>
        <w:t>(dále jen „příjemce podpory")</w:t>
      </w: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spacing w:before="12"/>
        <w:ind w:left="0"/>
        <w:jc w:val="left"/>
        <w:rPr>
          <w:sz w:val="33"/>
        </w:rPr>
      </w:pPr>
    </w:p>
    <w:p w:rsidR="00782ECD" w:rsidRDefault="000D103F">
      <w:pPr>
        <w:pStyle w:val="Zkladntext"/>
        <w:ind w:left="242"/>
        <w:jc w:val="left"/>
      </w:pPr>
      <w:r>
        <w:t>se dohodly takto:</w:t>
      </w:r>
    </w:p>
    <w:p w:rsidR="00782ECD" w:rsidRDefault="00782ECD">
      <w:pPr>
        <w:pStyle w:val="Zkladntext"/>
        <w:spacing w:before="1"/>
        <w:ind w:left="0"/>
        <w:jc w:val="left"/>
        <w:rPr>
          <w:sz w:val="36"/>
        </w:rPr>
      </w:pPr>
    </w:p>
    <w:p w:rsidR="00782ECD" w:rsidRDefault="000D103F">
      <w:pPr>
        <w:pStyle w:val="Nadpis1"/>
        <w:spacing w:before="1"/>
        <w:ind w:right="1014"/>
      </w:pPr>
      <w:r>
        <w:t>I.</w:t>
      </w:r>
    </w:p>
    <w:p w:rsidR="00782ECD" w:rsidRDefault="000D103F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782ECD" w:rsidRDefault="00782ECD">
      <w:pPr>
        <w:pStyle w:val="Zkladntext"/>
        <w:spacing w:before="1"/>
        <w:ind w:left="0"/>
        <w:jc w:val="left"/>
        <w:rPr>
          <w:b/>
          <w:sz w:val="18"/>
        </w:rPr>
      </w:pPr>
    </w:p>
    <w:p w:rsidR="00782ECD" w:rsidRDefault="000D103F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82ECD" w:rsidRDefault="000D103F">
      <w:pPr>
        <w:pStyle w:val="Zkladntext"/>
        <w:ind w:right="110"/>
      </w:pPr>
      <w:r>
        <w:t>„Smlouva“) se uzavírá na základě Rozhodnutí ministra životního prostředí č. 1200500015 o poskytnutí finančních prostředků ze Státního fondu životního prostředí ČR ze dne 24. 5. 2021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782ECD" w:rsidRDefault="000D103F">
      <w:pPr>
        <w:pStyle w:val="Zkladntext"/>
        <w:spacing w:line="266" w:lineRule="exact"/>
      </w:pPr>
      <w:r>
        <w:t>„Směrnice MŽP“), platné ke dni podání žádosti.</w:t>
      </w:r>
    </w:p>
    <w:p w:rsidR="00782ECD" w:rsidRDefault="000D103F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5/2020   k předkládání žádostí o poskytnutí podpory v rámci Národního programu Životní prostředí,</w:t>
      </w:r>
      <w:r>
        <w:rPr>
          <w:spacing w:val="43"/>
          <w:sz w:val="20"/>
        </w:rPr>
        <w:t xml:space="preserve"> </w:t>
      </w:r>
      <w:r>
        <w:rPr>
          <w:sz w:val="20"/>
        </w:rPr>
        <w:t>vydanou</w:t>
      </w:r>
    </w:p>
    <w:p w:rsidR="00782ECD" w:rsidRDefault="00782ECD">
      <w:pPr>
        <w:jc w:val="both"/>
        <w:rPr>
          <w:sz w:val="20"/>
        </w:rPr>
        <w:sectPr w:rsidR="00782ECD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782ECD" w:rsidRDefault="000D103F">
      <w:pPr>
        <w:pStyle w:val="Zkladntext"/>
        <w:spacing w:before="73"/>
        <w:jc w:val="left"/>
      </w:pPr>
      <w:r>
        <w:lastRenderedPageBreak/>
        <w:t>podle</w:t>
      </w:r>
      <w:r>
        <w:rPr>
          <w:spacing w:val="-15"/>
        </w:rPr>
        <w:t xml:space="preserve"> </w:t>
      </w:r>
      <w:r>
        <w:t>článku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Směrnice</w:t>
      </w:r>
      <w:r>
        <w:rPr>
          <w:spacing w:val="-12"/>
        </w:rPr>
        <w:t xml:space="preserve"> </w:t>
      </w:r>
      <w:r>
        <w:t>MŽP</w:t>
      </w:r>
      <w:r>
        <w:rPr>
          <w:spacing w:val="-13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„Výzva“),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náležitosti</w:t>
      </w:r>
      <w:r>
        <w:rPr>
          <w:spacing w:val="-12"/>
        </w:rPr>
        <w:t xml:space="preserve"> </w:t>
      </w:r>
      <w:r>
        <w:t>akce</w:t>
      </w:r>
      <w:r>
        <w:rPr>
          <w:spacing w:val="-15"/>
        </w:rPr>
        <w:t xml:space="preserve"> </w:t>
      </w:r>
      <w:r>
        <w:t>odpovídají</w:t>
      </w:r>
      <w:r>
        <w:rPr>
          <w:spacing w:val="-14"/>
        </w:rPr>
        <w:t xml:space="preserve"> </w:t>
      </w:r>
      <w:r>
        <w:t>podmínkám</w:t>
      </w:r>
      <w:r>
        <w:rPr>
          <w:spacing w:val="-13"/>
        </w:rPr>
        <w:t xml:space="preserve"> </w:t>
      </w:r>
      <w:r>
        <w:t>stanoveným touto Směrnicí MŽP a</w:t>
      </w:r>
      <w:r>
        <w:rPr>
          <w:spacing w:val="-1"/>
        </w:rPr>
        <w:t xml:space="preserve"> </w:t>
      </w:r>
      <w:r>
        <w:t>Výzvou.</w:t>
      </w:r>
    </w:p>
    <w:p w:rsidR="00782ECD" w:rsidRDefault="000D103F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782ECD" w:rsidRDefault="000D103F">
      <w:pPr>
        <w:pStyle w:val="Nadpis1"/>
        <w:spacing w:before="120"/>
        <w:ind w:left="1809"/>
        <w:jc w:val="left"/>
      </w:pPr>
      <w:r>
        <w:t>„Oprava VO města Svoboda nad Úpou III. etapa – Sluneční stráň 1“</w:t>
      </w:r>
    </w:p>
    <w:p w:rsidR="00782ECD" w:rsidRDefault="000D103F">
      <w:pPr>
        <w:pStyle w:val="Zkladntext"/>
        <w:spacing w:before="121"/>
        <w:jc w:val="left"/>
      </w:pPr>
      <w:r>
        <w:t xml:space="preserve">(dále jen „projekt“ nebo „akce“) realizovanou v </w:t>
      </w:r>
      <w:r>
        <w:t>roce 2021. Akce je investiční.</w:t>
      </w:r>
    </w:p>
    <w:p w:rsidR="00782ECD" w:rsidRDefault="00782ECD">
      <w:pPr>
        <w:pStyle w:val="Zkladntext"/>
        <w:spacing w:before="1"/>
        <w:ind w:left="0"/>
        <w:jc w:val="left"/>
        <w:rPr>
          <w:sz w:val="36"/>
        </w:rPr>
      </w:pPr>
    </w:p>
    <w:p w:rsidR="00782ECD" w:rsidRDefault="000D103F">
      <w:pPr>
        <w:pStyle w:val="Nadpis1"/>
        <w:ind w:right="1014"/>
      </w:pPr>
      <w:r>
        <w:t>II.</w:t>
      </w:r>
    </w:p>
    <w:p w:rsidR="00782ECD" w:rsidRDefault="000D103F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782ECD" w:rsidRDefault="00782ECD">
      <w:pPr>
        <w:pStyle w:val="Zkladntext"/>
        <w:spacing w:before="11"/>
        <w:ind w:left="0"/>
        <w:jc w:val="left"/>
        <w:rPr>
          <w:b/>
          <w:sz w:val="17"/>
        </w:rPr>
      </w:pP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1 141 674,55 Kč </w:t>
      </w:r>
      <w:r>
        <w:rPr>
          <w:sz w:val="20"/>
        </w:rPr>
        <w:t>(slovy: jeden milion sto čtyřicet jedna tisíc šest set sedmdesát čtyři korun českých a padesát pět</w:t>
      </w:r>
      <w:r>
        <w:rPr>
          <w:spacing w:val="-19"/>
          <w:sz w:val="20"/>
        </w:rPr>
        <w:t xml:space="preserve"> </w:t>
      </w:r>
      <w:r>
        <w:rPr>
          <w:sz w:val="20"/>
        </w:rPr>
        <w:t>haléřů).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1 343 146,53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</w:t>
      </w:r>
      <w:r>
        <w:rPr>
          <w:sz w:val="20"/>
        </w:rPr>
        <w:t>vu projektu, které mohou být vzniklé a uhrazené i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1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4"/>
          <w:sz w:val="20"/>
        </w:rPr>
        <w:t xml:space="preserve"> </w:t>
      </w:r>
      <w:r>
        <w:rPr>
          <w:sz w:val="20"/>
        </w:rPr>
        <w:t>práce,</w:t>
      </w:r>
      <w:r>
        <w:rPr>
          <w:spacing w:val="12"/>
          <w:sz w:val="20"/>
        </w:rPr>
        <w:t xml:space="preserve"> </w:t>
      </w:r>
      <w:r>
        <w:rPr>
          <w:sz w:val="20"/>
        </w:rPr>
        <w:t>služby</w:t>
      </w:r>
    </w:p>
    <w:p w:rsidR="00782ECD" w:rsidRDefault="000D103F">
      <w:pPr>
        <w:pStyle w:val="Zkladntext"/>
      </w:pPr>
      <w:r>
        <w:t>a dodávky na realizaci akce.</w:t>
      </w:r>
    </w:p>
    <w:p w:rsidR="00782ECD" w:rsidRDefault="000D103F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</w:p>
    <w:p w:rsidR="00782ECD" w:rsidRDefault="000D103F">
      <w:pPr>
        <w:pStyle w:val="Zkladntext"/>
        <w:jc w:val="left"/>
      </w:pPr>
      <w:r>
        <w:t>Výzvy.</w:t>
      </w:r>
    </w:p>
    <w:p w:rsidR="00782ECD" w:rsidRDefault="00782ECD">
      <w:pPr>
        <w:pStyle w:val="Zkladntext"/>
        <w:spacing w:before="2"/>
        <w:ind w:left="0"/>
        <w:jc w:val="left"/>
        <w:rPr>
          <w:sz w:val="36"/>
        </w:rPr>
      </w:pPr>
    </w:p>
    <w:p w:rsidR="00782ECD" w:rsidRDefault="000D103F">
      <w:pPr>
        <w:pStyle w:val="Nadpis1"/>
        <w:ind w:right="1018"/>
      </w:pPr>
      <w:r>
        <w:t>III.</w:t>
      </w:r>
    </w:p>
    <w:p w:rsidR="00782ECD" w:rsidRDefault="000D103F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782ECD" w:rsidRDefault="00782ECD">
      <w:pPr>
        <w:pStyle w:val="Zkladntext"/>
        <w:spacing w:before="12"/>
        <w:ind w:left="0"/>
        <w:jc w:val="left"/>
        <w:rPr>
          <w:b/>
          <w:sz w:val="17"/>
        </w:rPr>
      </w:pP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782ECD" w:rsidRDefault="000D103F">
      <w:pPr>
        <w:pStyle w:val="Zkladntext"/>
        <w:ind w:left="0" w:right="2319"/>
        <w:jc w:val="right"/>
      </w:pPr>
      <w:r>
        <w:t>dodržen poměr podpory a vlastních zdrojů vyplývající z níže uvedených částek.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284"/>
        </w:tabs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782ECD" w:rsidRDefault="00782ECD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782ECD">
        <w:trPr>
          <w:trHeight w:val="506"/>
        </w:trPr>
        <w:tc>
          <w:tcPr>
            <w:tcW w:w="4112" w:type="dxa"/>
          </w:tcPr>
          <w:p w:rsidR="00782ECD" w:rsidRDefault="000D103F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782ECD" w:rsidRDefault="000D103F"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782ECD">
        <w:trPr>
          <w:trHeight w:val="505"/>
        </w:trPr>
        <w:tc>
          <w:tcPr>
            <w:tcW w:w="4112" w:type="dxa"/>
          </w:tcPr>
          <w:p w:rsidR="00782ECD" w:rsidRDefault="000D103F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782ECD" w:rsidRDefault="000D103F">
            <w:pPr>
              <w:pStyle w:val="TableParagraph"/>
              <w:spacing w:before="120"/>
              <w:ind w:left="1849" w:right="1840"/>
              <w:jc w:val="center"/>
              <w:rPr>
                <w:sz w:val="20"/>
              </w:rPr>
            </w:pPr>
            <w:r>
              <w:rPr>
                <w:sz w:val="20"/>
              </w:rPr>
              <w:t>1 141 674,55</w:t>
            </w:r>
          </w:p>
        </w:tc>
      </w:tr>
    </w:tbl>
    <w:p w:rsidR="00782ECD" w:rsidRDefault="00782ECD">
      <w:pPr>
        <w:pStyle w:val="Zkladntext"/>
        <w:ind w:left="0"/>
        <w:jc w:val="left"/>
      </w:pP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34"/>
          <w:sz w:val="20"/>
        </w:rPr>
        <w:t xml:space="preserve"> </w:t>
      </w:r>
      <w:r>
        <w:rPr>
          <w:sz w:val="20"/>
        </w:rPr>
        <w:t>ČR“)</w:t>
      </w:r>
      <w:r>
        <w:rPr>
          <w:spacing w:val="3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32"/>
          <w:sz w:val="20"/>
        </w:rPr>
        <w:t xml:space="preserve"> </w:t>
      </w:r>
      <w:r>
        <w:rPr>
          <w:sz w:val="20"/>
        </w:rPr>
        <w:t>žádostí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3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3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33"/>
          <w:sz w:val="20"/>
        </w:rPr>
        <w:t xml:space="preserve"> </w:t>
      </w:r>
      <w:r>
        <w:rPr>
          <w:sz w:val="20"/>
        </w:rPr>
        <w:t>(bod</w:t>
      </w:r>
      <w:r>
        <w:rPr>
          <w:spacing w:val="33"/>
          <w:sz w:val="20"/>
        </w:rPr>
        <w:t xml:space="preserve"> </w:t>
      </w:r>
      <w:r>
        <w:rPr>
          <w:sz w:val="20"/>
        </w:rPr>
        <w:t>11)</w:t>
      </w:r>
      <w:r>
        <w:rPr>
          <w:spacing w:val="32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4"/>
          <w:sz w:val="20"/>
        </w:rPr>
        <w:t xml:space="preserve"> </w:t>
      </w:r>
      <w:r>
        <w:rPr>
          <w:sz w:val="20"/>
        </w:rPr>
        <w:t>doklady</w:t>
      </w:r>
      <w:r>
        <w:rPr>
          <w:spacing w:val="32"/>
          <w:sz w:val="20"/>
        </w:rPr>
        <w:t xml:space="preserve"> </w:t>
      </w:r>
      <w:r>
        <w:rPr>
          <w:sz w:val="20"/>
        </w:rPr>
        <w:t>prokazující</w:t>
      </w:r>
    </w:p>
    <w:p w:rsidR="00782ECD" w:rsidRDefault="00782ECD">
      <w:pPr>
        <w:jc w:val="both"/>
        <w:rPr>
          <w:sz w:val="20"/>
        </w:rPr>
        <w:sectPr w:rsidR="00782ECD">
          <w:pgSz w:w="12240" w:h="15840"/>
          <w:pgMar w:top="1060" w:right="1020" w:bottom="1640" w:left="1460" w:header="0" w:footer="1380" w:gutter="0"/>
          <w:cols w:space="708"/>
        </w:sectPr>
      </w:pPr>
    </w:p>
    <w:p w:rsidR="00782ECD" w:rsidRDefault="000D103F">
      <w:pPr>
        <w:pStyle w:val="Zkladntext"/>
        <w:spacing w:before="73"/>
      </w:pPr>
      <w:r>
        <w:lastRenderedPageBreak/>
        <w:t>oprávněnost vynaložených finančních prostředků.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</w:t>
      </w:r>
      <w:r>
        <w:rPr>
          <w:sz w:val="20"/>
        </w:rPr>
        <w:t>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</w:t>
      </w:r>
      <w:r>
        <w:rPr>
          <w:sz w:val="20"/>
        </w:rPr>
        <w:t>drojů plně výdaje akce přesahující základ pro stanovení podpory. Ustanovení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782ECD" w:rsidRDefault="000D103F">
      <w:pPr>
        <w:pStyle w:val="Zkladntext"/>
        <w:spacing w:before="1"/>
      </w:pPr>
      <w:r>
        <w:t>akce. V takovém případě Fond příjemci podpory umožní i odpovídající změnu termínů realizace akce.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příje</w:t>
      </w:r>
      <w:r>
        <w:rPr>
          <w:sz w:val="20"/>
        </w:rPr>
        <w:t>mcem podpory prostřednictvím AIS SFŽP</w:t>
      </w:r>
      <w:r>
        <w:rPr>
          <w:spacing w:val="-28"/>
          <w:sz w:val="20"/>
        </w:rPr>
        <w:t xml:space="preserve"> </w:t>
      </w:r>
      <w:r>
        <w:rPr>
          <w:sz w:val="20"/>
        </w:rPr>
        <w:t>ČR.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782ECD" w:rsidRDefault="000D103F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782ECD" w:rsidRDefault="000D103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6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uhr</w:t>
      </w:r>
      <w:r>
        <w:rPr>
          <w:sz w:val="20"/>
        </w:rPr>
        <w:t>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</w:t>
      </w:r>
      <w:r>
        <w:rPr>
          <w:sz w:val="20"/>
        </w:rPr>
        <w:t>eny faktury již uhrazené, neuhrazené či částečně uhrazené; pokud příjemce podpory předloží Fondu neuhrazené nebo částečně uhrazené faktury, doloží příjemce podpory Fondu nejpozději do 10 kalendářních dnů od uvolnění finančních prostředků relevantní doklady</w:t>
      </w:r>
      <w:r>
        <w:rPr>
          <w:sz w:val="20"/>
        </w:rPr>
        <w:t xml:space="preserve">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</w:t>
      </w:r>
      <w:r>
        <w:rPr>
          <w:sz w:val="20"/>
        </w:rPr>
        <w:t xml:space="preserve">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</w:t>
      </w:r>
      <w:r>
        <w:rPr>
          <w:sz w:val="20"/>
        </w:rPr>
        <w:t xml:space="preserve"> prokázání uvedených nákladů odpovídajícími účetními doklady.</w:t>
      </w:r>
    </w:p>
    <w:p w:rsidR="00782ECD" w:rsidRDefault="000D103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782ECD" w:rsidRDefault="00782ECD">
      <w:pPr>
        <w:jc w:val="both"/>
        <w:rPr>
          <w:sz w:val="20"/>
        </w:rPr>
        <w:sectPr w:rsidR="00782ECD">
          <w:pgSz w:w="12240" w:h="15840"/>
          <w:pgMar w:top="1060" w:right="1020" w:bottom="1660" w:left="1460" w:header="0" w:footer="1380" w:gutter="0"/>
          <w:cols w:space="708"/>
        </w:sectPr>
      </w:pP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spacing w:before="8"/>
        <w:ind w:left="0"/>
        <w:jc w:val="left"/>
        <w:rPr>
          <w:sz w:val="37"/>
        </w:rPr>
      </w:pPr>
    </w:p>
    <w:p w:rsidR="00782ECD" w:rsidRDefault="000D103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782ECD" w:rsidRDefault="000D103F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82ECD" w:rsidRDefault="000D103F">
      <w:pPr>
        <w:pStyle w:val="Nadpis1"/>
        <w:ind w:left="220" w:right="2282"/>
      </w:pPr>
      <w:r>
        <w:t>Základní závazky a další povinnosti příjemce podpory</w:t>
      </w:r>
    </w:p>
    <w:p w:rsidR="00782ECD" w:rsidRDefault="00782ECD">
      <w:pPr>
        <w:sectPr w:rsidR="00782ECD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 bude provedena podle Fondem odsouhlaseného energetického posudku "Rekonstrukce veřejného osvětlení Sluneční stráň – Úsek 1, Svoboda n. Ú.", zpracovaného Ing. Petrem Čeňkem (10/2020), včetně případných změn a doplňků těchto dokumentů odsouhlasených</w:t>
      </w:r>
      <w:r>
        <w:rPr>
          <w:spacing w:val="-13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dem,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provede</w:t>
      </w:r>
      <w:r>
        <w:rPr>
          <w:spacing w:val="5"/>
          <w:sz w:val="20"/>
        </w:rPr>
        <w:t xml:space="preserve"> </w:t>
      </w:r>
      <w:r>
        <w:rPr>
          <w:sz w:val="20"/>
        </w:rPr>
        <w:t>výměnu</w:t>
      </w:r>
      <w:r>
        <w:rPr>
          <w:spacing w:val="5"/>
          <w:sz w:val="20"/>
        </w:rPr>
        <w:t xml:space="preserve"> </w:t>
      </w:r>
      <w:r>
        <w:rPr>
          <w:sz w:val="20"/>
        </w:rPr>
        <w:t>15</w:t>
      </w:r>
      <w:r>
        <w:rPr>
          <w:spacing w:val="9"/>
          <w:sz w:val="20"/>
        </w:rPr>
        <w:t xml:space="preserve"> </w:t>
      </w:r>
      <w:r>
        <w:rPr>
          <w:sz w:val="20"/>
        </w:rPr>
        <w:t>svítidel</w:t>
      </w:r>
      <w:r>
        <w:rPr>
          <w:spacing w:val="7"/>
          <w:sz w:val="20"/>
        </w:rPr>
        <w:t xml:space="preserve"> </w:t>
      </w:r>
      <w:r>
        <w:rPr>
          <w:sz w:val="20"/>
        </w:rPr>
        <w:t>veřejného</w:t>
      </w:r>
      <w:r>
        <w:rPr>
          <w:spacing w:val="7"/>
          <w:sz w:val="20"/>
        </w:rPr>
        <w:t xml:space="preserve"> </w:t>
      </w:r>
      <w:r>
        <w:rPr>
          <w:sz w:val="20"/>
        </w:rPr>
        <w:t>osvětlení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dosaženo</w:t>
      </w:r>
      <w:r>
        <w:rPr>
          <w:spacing w:val="7"/>
          <w:sz w:val="20"/>
        </w:rPr>
        <w:t xml:space="preserve"> </w:t>
      </w:r>
      <w:r>
        <w:rPr>
          <w:sz w:val="20"/>
        </w:rPr>
        <w:t>roční</w:t>
      </w:r>
      <w:r>
        <w:rPr>
          <w:spacing w:val="5"/>
          <w:sz w:val="20"/>
        </w:rPr>
        <w:t xml:space="preserve"> </w:t>
      </w:r>
      <w:r>
        <w:rPr>
          <w:sz w:val="20"/>
        </w:rPr>
        <w:t>energetické</w:t>
      </w:r>
      <w:r>
        <w:rPr>
          <w:spacing w:val="5"/>
          <w:sz w:val="20"/>
        </w:rPr>
        <w:t xml:space="preserve"> </w:t>
      </w:r>
      <w:r>
        <w:rPr>
          <w:sz w:val="20"/>
        </w:rPr>
        <w:t>úspory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výši</w:t>
      </w:r>
    </w:p>
    <w:p w:rsidR="00782ECD" w:rsidRDefault="000D103F">
      <w:pPr>
        <w:pStyle w:val="Zkladntext"/>
        <w:spacing w:before="1"/>
        <w:ind w:left="923"/>
      </w:pPr>
      <w:r>
        <w:t>2,65 MWh/rok,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 xml:space="preserve">akce bude provedena na pozemcích ve vlastnictví příjemce podpory, popřípadě na pozemcích, jejichž vlastník vyslovil souhlas s realizací akce </w:t>
      </w:r>
      <w:r>
        <w:rPr>
          <w:sz w:val="20"/>
        </w:rPr>
        <w:t>a zajištěním udržitelnosti akce (včetně následné péče a údržby realizovaného opatření a provádění kontroly podle písm. b) odrážky čtvrté) po dobu 5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zabezpečí, že účel, pro který je poskytnuta podpora podle této Smlouvy, bude u relevantních</w:t>
      </w:r>
      <w:r>
        <w:rPr>
          <w:spacing w:val="-38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</w:t>
      </w:r>
      <w:r>
        <w:rPr>
          <w:sz w:val="20"/>
        </w:rPr>
        <w:t>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ind w:right="109"/>
        <w:rPr>
          <w:sz w:val="20"/>
        </w:rPr>
      </w:pPr>
      <w:r>
        <w:rPr>
          <w:sz w:val="20"/>
        </w:rPr>
        <w:t>termín dokončení akce do konce 11/2021 a o dodržení tohoto termínu Fond bez zbytečného 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</w:t>
      </w:r>
      <w:r>
        <w:rPr>
          <w:sz w:val="20"/>
        </w:rPr>
        <w:t>a v</w:t>
      </w:r>
      <w:r>
        <w:rPr>
          <w:spacing w:val="-6"/>
          <w:sz w:val="20"/>
        </w:rPr>
        <w:t xml:space="preserve"> </w:t>
      </w:r>
      <w:r>
        <w:rPr>
          <w:sz w:val="20"/>
        </w:rPr>
        <w:t>4/2021,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 zavazuje nejpozději do konce 12/2022 předložit prostřednictvím AIS SFŽP ČR Fondu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</w:p>
    <w:p w:rsidR="00782ECD" w:rsidRDefault="000D103F">
      <w:pPr>
        <w:pStyle w:val="Zkladntext"/>
        <w:ind w:left="808"/>
      </w:pPr>
      <w:r>
        <w:t>k závěrečnému vyhodnocení akce (dále jen „ZVA") podle článku 12 písm. d) Výzvy a dále: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21"/>
        <w:jc w:val="left"/>
        <w:rPr>
          <w:sz w:val="20"/>
        </w:rPr>
      </w:pPr>
      <w:r>
        <w:rPr>
          <w:sz w:val="20"/>
        </w:rPr>
        <w:t>protokol o ověření osvětlenosti pozemních komunikací a dalších Výzvou požadovaných parametrů vypracovaný dle metodického</w:t>
      </w:r>
      <w:r>
        <w:rPr>
          <w:spacing w:val="-2"/>
          <w:sz w:val="20"/>
        </w:rPr>
        <w:t xml:space="preserve"> </w:t>
      </w:r>
      <w:r>
        <w:rPr>
          <w:sz w:val="20"/>
        </w:rPr>
        <w:t>pokynu,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782ECD" w:rsidRDefault="000D103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posouzení reálně dosažených úspor energie po jednom roce</w:t>
      </w:r>
      <w:r>
        <w:rPr>
          <w:spacing w:val="-5"/>
          <w:sz w:val="20"/>
        </w:rPr>
        <w:t xml:space="preserve"> </w:t>
      </w:r>
      <w:r>
        <w:rPr>
          <w:sz w:val="20"/>
        </w:rPr>
        <w:t>provozu.</w:t>
      </w:r>
    </w:p>
    <w:p w:rsidR="00782ECD" w:rsidRDefault="000D103F">
      <w:pPr>
        <w:pStyle w:val="Zkladntext"/>
        <w:spacing w:before="118"/>
        <w:jc w:val="left"/>
      </w:pPr>
      <w:r>
        <w:t xml:space="preserve">K ZVA </w:t>
      </w:r>
      <w:r>
        <w:t>může Fond vydat závazné pokyny (či požádat o informace), které mohou jeho obsah blíže specifikovat či rozšířit. Příjemce podpory je povinen tyto pokyny (žádost o informace) bez zbytečného</w:t>
      </w:r>
    </w:p>
    <w:p w:rsidR="00782ECD" w:rsidRDefault="00782ECD">
      <w:pPr>
        <w:sectPr w:rsidR="00782ECD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782ECD" w:rsidRDefault="000D103F">
      <w:pPr>
        <w:pStyle w:val="Zkladntext"/>
        <w:spacing w:before="73"/>
        <w:ind w:right="108"/>
      </w:pPr>
      <w:r>
        <w:lastRenderedPageBreak/>
        <w:t>odkladu (případně ve lhůtě stanovené Fondem) splnit. Fon</w:t>
      </w:r>
      <w:r>
        <w:t>d není povinen vydat protokol o ZVA dříve, než obdrží veškeré požadované podklady a informace, na základě kterých bude moci jednoznačně rozhodnout o plnění podmínek této Smlouvy a rovněž v případě, že příjemce podpory je v prodlení      s plněním finančníc</w:t>
      </w:r>
      <w:r>
        <w:t>h závazků vůči Fondu.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782ECD" w:rsidRDefault="000D103F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21"/>
          <w:sz w:val="20"/>
        </w:rPr>
        <w:t xml:space="preserve"> </w:t>
      </w:r>
      <w:r>
        <w:rPr>
          <w:sz w:val="20"/>
        </w:rPr>
        <w:t>platba,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</w:t>
      </w:r>
      <w:r>
        <w:rPr>
          <w:sz w:val="20"/>
        </w:rPr>
        <w:t>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5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29"/>
          <w:sz w:val="20"/>
        </w:rPr>
        <w:t xml:space="preserve"> </w:t>
      </w:r>
      <w:r>
        <w:rPr>
          <w:sz w:val="20"/>
        </w:rPr>
        <w:t>Smlouvou),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pacing w:val="2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</w:t>
      </w:r>
      <w:r>
        <w:rPr>
          <w:sz w:val="20"/>
        </w:rPr>
        <w:t xml:space="preserve">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782ECD" w:rsidRDefault="000D103F">
      <w:pPr>
        <w:pStyle w:val="Odstavecseseznamem"/>
        <w:numPr>
          <w:ilvl w:val="1"/>
          <w:numId w:val="4"/>
        </w:numPr>
        <w:tabs>
          <w:tab w:val="left" w:pos="809"/>
        </w:tabs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7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</w:t>
      </w:r>
      <w:r>
        <w:rPr>
          <w:spacing w:val="-26"/>
          <w:sz w:val="20"/>
        </w:rPr>
        <w:t xml:space="preserve"> </w:t>
      </w:r>
      <w:r>
        <w:rPr>
          <w:sz w:val="20"/>
        </w:rPr>
        <w:t>dodržena.</w:t>
      </w:r>
    </w:p>
    <w:p w:rsidR="00782ECD" w:rsidRDefault="00782ECD">
      <w:pPr>
        <w:jc w:val="both"/>
        <w:rPr>
          <w:sz w:val="20"/>
        </w:rPr>
        <w:sectPr w:rsidR="00782ECD">
          <w:pgSz w:w="12240" w:h="15840"/>
          <w:pgMar w:top="1060" w:right="1020" w:bottom="1660" w:left="1460" w:header="0" w:footer="1380" w:gutter="0"/>
          <w:cols w:space="708"/>
        </w:sectPr>
      </w:pPr>
    </w:p>
    <w:p w:rsidR="00782ECD" w:rsidRDefault="000D103F">
      <w:pPr>
        <w:pStyle w:val="Nadpis1"/>
        <w:spacing w:before="73"/>
        <w:ind w:right="1016"/>
      </w:pPr>
      <w:r>
        <w:lastRenderedPageBreak/>
        <w:t>V.</w:t>
      </w:r>
    </w:p>
    <w:p w:rsidR="00782ECD" w:rsidRDefault="000D103F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782ECD" w:rsidRDefault="00782ECD">
      <w:pPr>
        <w:pStyle w:val="Zkladntext"/>
        <w:spacing w:before="1"/>
        <w:ind w:left="0"/>
        <w:jc w:val="left"/>
        <w:rPr>
          <w:b/>
          <w:sz w:val="18"/>
        </w:rPr>
      </w:pP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</w:t>
      </w:r>
      <w:r>
        <w:rPr>
          <w:sz w:val="20"/>
        </w:rPr>
        <w:t>visejících zákonů (rozpočtová pravidla), 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 xml:space="preserve">Porušení povinností podle článku II bodů 5 nebo 6 nebo podle článku IV bodu 2 písm. a), c), d) nebo e) bude postiženo odvodem  ve výši 100 % z poskytnuté podpory. Porušení povinností podle článku   </w:t>
      </w:r>
      <w:r>
        <w:rPr>
          <w:sz w:val="20"/>
        </w:rPr>
        <w:t xml:space="preserve">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 podpory.</w:t>
      </w: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 xml:space="preserve">Porušení povinností podle článku IV bodu 1 písm. c) nebo d) bude postiženo odvodem ve výši 0,5 %     z poskytnuté podpory za každý započatý měsíc prodlení. Porušení těchto povinností </w:t>
      </w:r>
      <w:r>
        <w:rPr>
          <w:sz w:val="20"/>
        </w:rPr>
        <w:t>nepřesahující lhůtu 10 kalendářních dnů nebude postiženo a nebude tak považováno za porušení podmínek poskytnutí podpory.</w:t>
      </w: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782ECD" w:rsidRDefault="000D103F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782ECD" w:rsidRDefault="000D103F">
      <w:pPr>
        <w:pStyle w:val="Zkladntext"/>
        <w:jc w:val="left"/>
      </w:pPr>
      <w:r>
        <w:t>podpory.</w:t>
      </w:r>
    </w:p>
    <w:p w:rsidR="00782ECD" w:rsidRDefault="00782ECD">
      <w:pPr>
        <w:pStyle w:val="Zkladntext"/>
        <w:spacing w:before="13"/>
        <w:ind w:left="0"/>
        <w:jc w:val="left"/>
        <w:rPr>
          <w:sz w:val="35"/>
        </w:rPr>
      </w:pPr>
    </w:p>
    <w:p w:rsidR="00782ECD" w:rsidRDefault="000D103F">
      <w:pPr>
        <w:pStyle w:val="Nadpis1"/>
        <w:ind w:right="1016"/>
      </w:pPr>
      <w:r>
        <w:t>VI.</w:t>
      </w:r>
    </w:p>
    <w:p w:rsidR="00782ECD" w:rsidRDefault="000D103F">
      <w:pPr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782ECD" w:rsidRDefault="00782ECD">
      <w:pPr>
        <w:pStyle w:val="Zkladntext"/>
        <w:spacing w:before="1"/>
        <w:ind w:left="0"/>
        <w:jc w:val="left"/>
        <w:rPr>
          <w:b/>
          <w:sz w:val="18"/>
        </w:rPr>
      </w:pP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82ECD" w:rsidRDefault="000D103F">
      <w:pPr>
        <w:pStyle w:val="Zkladntext"/>
        <w:spacing w:before="1"/>
        <w:jc w:val="left"/>
      </w:pPr>
      <w:r>
        <w:t>Smlouvou.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782ECD" w:rsidRDefault="000D103F">
      <w:pPr>
        <w:pStyle w:val="Zkladntext"/>
        <w:jc w:val="left"/>
      </w:pPr>
      <w:r>
        <w:t>občanského zákoníku, zejména jeho části čtvrté.</w:t>
      </w:r>
    </w:p>
    <w:p w:rsidR="00782ECD" w:rsidRDefault="00782ECD">
      <w:pPr>
        <w:sectPr w:rsidR="00782ECD">
          <w:pgSz w:w="12240" w:h="15840"/>
          <w:pgMar w:top="1060" w:right="1020" w:bottom="1660" w:left="1460" w:header="0" w:footer="1380" w:gutter="0"/>
          <w:cols w:space="708"/>
        </w:sectPr>
      </w:pP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Sb., o zvláštních podmínkách účinnosti některých smluv, uveřejňování těchto smluv a o registru smluv (zákon o registru smluv), ve znění pozdějš</w:t>
      </w:r>
      <w:r>
        <w:rPr>
          <w:sz w:val="20"/>
        </w:rPr>
        <w:t>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782ECD" w:rsidRDefault="000D103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</w:t>
      </w:r>
      <w:r>
        <w:rPr>
          <w:sz w:val="20"/>
        </w:rPr>
        <w:t>depsána vlastnoručně; každý exemplář má platnost originálu. Každá smluvní strana obdrží jeden exemplář.</w:t>
      </w:r>
    </w:p>
    <w:p w:rsidR="00782ECD" w:rsidRDefault="00782ECD">
      <w:pPr>
        <w:pStyle w:val="Zkladntext"/>
        <w:spacing w:before="3"/>
        <w:ind w:left="0"/>
        <w:jc w:val="left"/>
        <w:rPr>
          <w:sz w:val="36"/>
        </w:rPr>
      </w:pPr>
    </w:p>
    <w:p w:rsidR="00782ECD" w:rsidRDefault="000D103F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782ECD" w:rsidRDefault="00782ECD">
      <w:pPr>
        <w:pStyle w:val="Zkladntext"/>
        <w:spacing w:before="12"/>
        <w:ind w:left="0"/>
        <w:jc w:val="left"/>
        <w:rPr>
          <w:sz w:val="17"/>
        </w:rPr>
      </w:pPr>
    </w:p>
    <w:p w:rsidR="00782ECD" w:rsidRDefault="000D103F">
      <w:pPr>
        <w:pStyle w:val="Zkladntext"/>
        <w:spacing w:before="1"/>
        <w:ind w:left="242"/>
        <w:jc w:val="left"/>
      </w:pPr>
      <w:r>
        <w:t>dne:</w:t>
      </w: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spacing w:before="2"/>
        <w:ind w:left="0"/>
        <w:jc w:val="left"/>
        <w:rPr>
          <w:sz w:val="29"/>
        </w:rPr>
      </w:pPr>
    </w:p>
    <w:p w:rsidR="00782ECD" w:rsidRDefault="000D103F">
      <w:pPr>
        <w:pStyle w:val="Zkladntext"/>
        <w:tabs>
          <w:tab w:val="left" w:pos="6722"/>
        </w:tabs>
        <w:spacing w:before="1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782ECD" w:rsidRDefault="000D103F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spacing w:before="2"/>
        <w:ind w:left="0"/>
        <w:jc w:val="left"/>
        <w:rPr>
          <w:sz w:val="32"/>
        </w:rPr>
      </w:pPr>
    </w:p>
    <w:p w:rsidR="00782ECD" w:rsidRDefault="000D103F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782ECD" w:rsidRDefault="00782ECD">
      <w:pPr>
        <w:spacing w:line="264" w:lineRule="auto"/>
        <w:sectPr w:rsidR="00782ECD">
          <w:pgSz w:w="12240" w:h="15840"/>
          <w:pgMar w:top="1060" w:right="1020" w:bottom="1660" w:left="1460" w:header="0" w:footer="1380" w:gutter="0"/>
          <w:cols w:space="708"/>
        </w:sectPr>
      </w:pPr>
    </w:p>
    <w:p w:rsidR="00782ECD" w:rsidRDefault="000D103F">
      <w:pPr>
        <w:pStyle w:val="Zkladntext"/>
        <w:spacing w:before="73"/>
        <w:ind w:left="242"/>
        <w:jc w:val="left"/>
      </w:pPr>
      <w:r>
        <w:lastRenderedPageBreak/>
        <w:t>Příloha č. 1 Smlouva o poskytnutí podpory ze Státního fondu životního prostředí České republiky</w:t>
      </w:r>
    </w:p>
    <w:p w:rsidR="00782ECD" w:rsidRDefault="00782ECD">
      <w:pPr>
        <w:pStyle w:val="Zkladntext"/>
        <w:ind w:left="0"/>
        <w:jc w:val="left"/>
        <w:rPr>
          <w:sz w:val="26"/>
        </w:rPr>
      </w:pPr>
    </w:p>
    <w:p w:rsidR="00782ECD" w:rsidRDefault="00782ECD">
      <w:pPr>
        <w:pStyle w:val="Zkladntext"/>
        <w:spacing w:before="2"/>
        <w:ind w:left="0"/>
        <w:jc w:val="left"/>
        <w:rPr>
          <w:sz w:val="32"/>
        </w:rPr>
      </w:pPr>
    </w:p>
    <w:p w:rsidR="00782ECD" w:rsidRDefault="000D103F">
      <w:pPr>
        <w:pStyle w:val="Nadpis1"/>
        <w:spacing w:line="264" w:lineRule="auto"/>
        <w:ind w:left="242"/>
        <w:jc w:val="left"/>
      </w:pPr>
      <w:r>
        <w:t>Stanovení finan</w:t>
      </w:r>
      <w:r>
        <w:t>čních oprav, které se použijí v případě porušení povinností při zadávání zakázek/ veřejných zakázek</w:t>
      </w:r>
    </w:p>
    <w:p w:rsidR="00782ECD" w:rsidRDefault="00782ECD">
      <w:pPr>
        <w:pStyle w:val="Zkladntext"/>
        <w:spacing w:before="1"/>
        <w:ind w:left="0"/>
        <w:jc w:val="left"/>
        <w:rPr>
          <w:b/>
          <w:sz w:val="27"/>
        </w:rPr>
      </w:pP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</w:t>
      </w:r>
      <w:r>
        <w:rPr>
          <w:sz w:val="20"/>
        </w:rPr>
        <w:t xml:space="preserve">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</w:t>
      </w:r>
      <w:r>
        <w:rPr>
          <w:spacing w:val="-3"/>
          <w:sz w:val="20"/>
        </w:rPr>
        <w:t xml:space="preserve"> </w:t>
      </w:r>
      <w:r>
        <w:rPr>
          <w:sz w:val="20"/>
        </w:rPr>
        <w:t>OPŽP“).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782ECD" w:rsidRDefault="000D103F">
      <w:pPr>
        <w:pStyle w:val="Zkladntext"/>
        <w:spacing w:before="27"/>
      </w:pPr>
      <w:r>
        <w:t>poskytnuta v souvislosti s veřejnou zakázkou, u které se porušení vyskytlo.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</w:t>
      </w:r>
      <w:r>
        <w:rPr>
          <w:sz w:val="20"/>
        </w:rPr>
        <w:t>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82ECD" w:rsidRDefault="000D103F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</w:t>
      </w:r>
      <w:r>
        <w:rPr>
          <w:sz w:val="20"/>
        </w:rPr>
        <w:t>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782ECD" w:rsidRDefault="000D103F">
      <w:pPr>
        <w:pStyle w:val="Zkladntext"/>
        <w:spacing w:before="27"/>
      </w:pPr>
      <w:r>
        <w:t>v tabulce níže, bude stanovena finanční oprava dle zásady přiměřenosti.</w:t>
      </w:r>
    </w:p>
    <w:p w:rsidR="00782ECD" w:rsidRDefault="00782ECD">
      <w:pPr>
        <w:sectPr w:rsidR="00782ECD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2EC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2EC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2ECD" w:rsidRDefault="000D103F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7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782ECD" w:rsidRDefault="000D103F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2EC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82ECD" w:rsidRDefault="000D103F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782EC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82ECD" w:rsidRDefault="000D103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82ECD" w:rsidRDefault="000D103F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782ECD" w:rsidRDefault="000D103F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782ECD" w:rsidRDefault="000D103F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2EC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782ECD" w:rsidRDefault="000D103F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782EC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782ECD" w:rsidRDefault="000D103F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782ECD" w:rsidRDefault="000D10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782ECD" w:rsidRDefault="000D103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782EC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782ECD" w:rsidRDefault="000D103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782EC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782ECD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782ECD" w:rsidRDefault="000D103F">
            <w:pPr>
              <w:pStyle w:val="TableParagraph"/>
              <w:spacing w:before="1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782ECD" w:rsidRDefault="000D103F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782ECD" w:rsidRDefault="000D103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782ECD" w:rsidRDefault="000D103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</w:t>
            </w:r>
            <w:r>
              <w:rPr>
                <w:sz w:val="20"/>
              </w:rPr>
              <w:t>dek</w:t>
            </w:r>
          </w:p>
        </w:tc>
      </w:tr>
      <w:tr w:rsidR="00782EC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782ECD" w:rsidRDefault="000D103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782ECD" w:rsidRDefault="000D103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782ECD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782ECD" w:rsidRDefault="000D103F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782ECD" w:rsidRDefault="00782ECD">
      <w:pPr>
        <w:spacing w:line="261" w:lineRule="auto"/>
        <w:rPr>
          <w:sz w:val="20"/>
        </w:rPr>
        <w:sectPr w:rsidR="00782ECD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2EC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2EC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82ECD" w:rsidRDefault="000D103F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782ECD" w:rsidRDefault="000D103F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82ECD" w:rsidRDefault="000D103F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782ECD" w:rsidRDefault="000D103F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782ECD" w:rsidRDefault="000D103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2EC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782EC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782ECD" w:rsidRDefault="000D103F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782ECD" w:rsidRDefault="000D103F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782ECD" w:rsidRDefault="000D103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2EC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82ECD" w:rsidRDefault="000D10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82ECD" w:rsidRDefault="000D103F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82ECD" w:rsidRDefault="000D103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782ECD" w:rsidRDefault="000D103F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782ECD" w:rsidRDefault="000D103F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82EC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782ECD" w:rsidRDefault="000D103F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782ECD" w:rsidRDefault="000D103F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782ECD" w:rsidRDefault="000D103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782ECD" w:rsidRDefault="000D103F">
            <w:pPr>
              <w:pStyle w:val="TableParagraph"/>
              <w:spacing w:before="27" w:line="264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782ECD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782ECD" w:rsidRDefault="000D103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782ECD" w:rsidRDefault="000D103F">
            <w:pPr>
              <w:pStyle w:val="TableParagraph"/>
              <w:spacing w:before="27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82ECD" w:rsidRDefault="00782ECD">
      <w:pPr>
        <w:spacing w:line="264" w:lineRule="auto"/>
        <w:rPr>
          <w:sz w:val="20"/>
        </w:rPr>
        <w:sectPr w:rsidR="00782ECD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2EC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2EC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782ECD" w:rsidRDefault="000D103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782ECD" w:rsidRDefault="000D103F">
            <w:pPr>
              <w:pStyle w:val="TableParagraph"/>
              <w:spacing w:before="0" w:line="264" w:lineRule="auto"/>
              <w:ind w:right="137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2EC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782ECD" w:rsidRDefault="000D103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782ECD" w:rsidRDefault="000D103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782ECD" w:rsidRDefault="000D103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782ECD" w:rsidRDefault="000D103F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82ECD" w:rsidRDefault="000D103F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2ECD" w:rsidRDefault="000D10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2EC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782ECD" w:rsidRDefault="000D103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2EC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782EC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782EC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82EC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782EC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2ECD" w:rsidRDefault="000D103F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782ECD" w:rsidRDefault="000D103F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782ECD" w:rsidRDefault="000D103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82ECD" w:rsidRDefault="000D103F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82ECD" w:rsidRDefault="000D103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782ECD" w:rsidRDefault="00782ECD">
      <w:pPr>
        <w:spacing w:line="264" w:lineRule="auto"/>
        <w:rPr>
          <w:sz w:val="20"/>
        </w:rPr>
        <w:sectPr w:rsidR="00782ECD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2EC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2ECD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82ECD" w:rsidRDefault="000D103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782ECD" w:rsidRDefault="000D103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 při posouzení</w:t>
            </w:r>
          </w:p>
          <w:p w:rsidR="00782ECD" w:rsidRDefault="000D103F">
            <w:pPr>
              <w:pStyle w:val="TableParagraph"/>
              <w:spacing w:before="27" w:line="264" w:lineRule="auto"/>
              <w:ind w:right="622"/>
              <w:rPr>
                <w:sz w:val="20"/>
              </w:rPr>
            </w:pPr>
            <w:r>
              <w:rPr>
                <w:sz w:val="20"/>
              </w:rPr>
              <w:t>nebo hodnocení 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782ECD" w:rsidRDefault="000D103F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2ECD" w:rsidRDefault="000D103F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782ECD" w:rsidRDefault="000D103F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2EC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782ECD" w:rsidRDefault="000D103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782ECD" w:rsidRDefault="000D103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782ECD" w:rsidRDefault="000D103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782ECD" w:rsidRDefault="000D103F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782ECD" w:rsidRDefault="000D103F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782ECD" w:rsidRDefault="000D103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782ECD" w:rsidRDefault="000D103F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782ECD" w:rsidRDefault="000D103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782EC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782ECD" w:rsidRDefault="000D103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782ECD" w:rsidRDefault="000D103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782ECD" w:rsidRDefault="000D103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82ECD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782ECD" w:rsidRDefault="00782ECD">
      <w:pPr>
        <w:spacing w:line="264" w:lineRule="auto"/>
        <w:rPr>
          <w:sz w:val="20"/>
        </w:rPr>
        <w:sectPr w:rsidR="00782ECD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82ECD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82ECD" w:rsidRDefault="000D103F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782ECD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782ECD" w:rsidRDefault="000D103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82ECD" w:rsidRDefault="000D103F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782ECD" w:rsidRDefault="000D103F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782ECD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782ECD" w:rsidRDefault="000D103F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782ECD" w:rsidRDefault="000D103F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782ECD" w:rsidRDefault="000D103F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782ECD" w:rsidRDefault="000D103F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782EC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782ECD" w:rsidRDefault="000D10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782ECD" w:rsidRDefault="000D103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82ECD" w:rsidRDefault="000D103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782ECD" w:rsidRDefault="000D103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782ECD" w:rsidRDefault="000D103F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782ECD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82ECD" w:rsidRDefault="000D103F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82ECD" w:rsidRDefault="000D103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782ECD" w:rsidRDefault="000D103F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782ECD" w:rsidRDefault="000D103F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82ECD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82ECD" w:rsidRDefault="000D103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782ECD" w:rsidRDefault="000D103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782ECD" w:rsidRDefault="000D103F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782ECD" w:rsidRDefault="000D103F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2ECD" w:rsidRDefault="000D103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82ECD">
        <w:trPr>
          <w:trHeight w:val="261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82ECD" w:rsidRDefault="00782EC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82ECD" w:rsidRDefault="000D103F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782ECD" w:rsidRDefault="000D103F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0D103F" w:rsidRDefault="000D103F"/>
    <w:sectPr w:rsidR="000D103F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3F" w:rsidRDefault="000D103F">
      <w:r>
        <w:separator/>
      </w:r>
    </w:p>
  </w:endnote>
  <w:endnote w:type="continuationSeparator" w:id="0">
    <w:p w:rsidR="000D103F" w:rsidRDefault="000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CD" w:rsidRDefault="000D103F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782ECD" w:rsidRDefault="000D103F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042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3F" w:rsidRDefault="000D103F">
      <w:r>
        <w:separator/>
      </w:r>
    </w:p>
  </w:footnote>
  <w:footnote w:type="continuationSeparator" w:id="0">
    <w:p w:rsidR="000D103F" w:rsidRDefault="000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60A"/>
    <w:multiLevelType w:val="hybridMultilevel"/>
    <w:tmpl w:val="4C30410E"/>
    <w:lvl w:ilvl="0" w:tplc="3FCC0A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3A0D07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8A0C7D5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CF4C2976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E4A050B2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131C7CCA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E4F08686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596AB5C0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3BBAD4AE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FA9046F"/>
    <w:multiLevelType w:val="hybridMultilevel"/>
    <w:tmpl w:val="9B688250"/>
    <w:lvl w:ilvl="0" w:tplc="A62A39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01E619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5E475F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9B6E98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1CA4D2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C7A666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72022D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8740F0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9886FA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B472744"/>
    <w:multiLevelType w:val="hybridMultilevel"/>
    <w:tmpl w:val="4D008094"/>
    <w:lvl w:ilvl="0" w:tplc="5246BE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652960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32A22D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C544AA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12CBE1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3C80DD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38C276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89C7CD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676209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4563C6D"/>
    <w:multiLevelType w:val="hybridMultilevel"/>
    <w:tmpl w:val="A544B10A"/>
    <w:lvl w:ilvl="0" w:tplc="4BE861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762632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D84CD7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2F4AF7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D86365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09A59D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ABAFE3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274602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A8C883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2D2778B8"/>
    <w:multiLevelType w:val="hybridMultilevel"/>
    <w:tmpl w:val="18165A2C"/>
    <w:lvl w:ilvl="0" w:tplc="AD90223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5D48E5FC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8782E5AE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F73077BA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9E60544C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6622AA38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DA023004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97622204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65BA0AB0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07804CC"/>
    <w:multiLevelType w:val="hybridMultilevel"/>
    <w:tmpl w:val="5C4AE0CA"/>
    <w:lvl w:ilvl="0" w:tplc="626C26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6CEACD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7986D5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CD46AB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01C767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AD48B7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79EC68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EF058E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CDE8B4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49242C30"/>
    <w:multiLevelType w:val="hybridMultilevel"/>
    <w:tmpl w:val="CBF406EC"/>
    <w:lvl w:ilvl="0" w:tplc="0848EDA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A9EE67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78C6A5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C8981056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FBCC4E9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E7A073AA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C12E752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A950E4DA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2AD82140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2ECD"/>
    <w:rsid w:val="000D103F"/>
    <w:rsid w:val="00104254"/>
    <w:rsid w:val="007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A5F0A4"/>
  <w15:docId w15:val="{A306A068-C852-46A9-A3A0-9689BEF4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4255</Words>
  <Characters>25105</Characters>
  <Application>Microsoft Office Word</Application>
  <DocSecurity>0</DocSecurity>
  <Lines>209</Lines>
  <Paragraphs>58</Paragraphs>
  <ScaleCrop>false</ScaleCrop>
  <Company>SFZP</Company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2021-08-02T12:22:00Z</dcterms:created>
  <dcterms:modified xsi:type="dcterms:W3CDTF">2021-08-02T12:22:00Z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2021-08-02T00:00:00Z</vt:filetime>
  </property>
</Properties>
</file>