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979F" w14:textId="4EC8EAFD" w:rsidR="001146A6" w:rsidRDefault="001146A6" w:rsidP="001146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300F2">
        <w:rPr>
          <w:rFonts w:cstheme="minorHAnsi"/>
          <w:sz w:val="24"/>
          <w:szCs w:val="24"/>
        </w:rPr>
        <w:t>Příloha č. 3</w:t>
      </w:r>
    </w:p>
    <w:p w14:paraId="0CEBC8AD" w14:textId="77777777" w:rsidR="003A5950" w:rsidRPr="005300F2" w:rsidRDefault="003A5950" w:rsidP="001146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79D194" w14:textId="32D593CC" w:rsidR="001146A6" w:rsidRPr="005300F2" w:rsidRDefault="001146A6" w:rsidP="00E719C7">
      <w:pPr>
        <w:spacing w:after="0"/>
        <w:jc w:val="center"/>
        <w:rPr>
          <w:rFonts w:cstheme="minorHAnsi"/>
          <w:b/>
          <w:sz w:val="24"/>
          <w:szCs w:val="24"/>
        </w:rPr>
      </w:pPr>
      <w:r w:rsidRPr="005300F2">
        <w:rPr>
          <w:rFonts w:cstheme="minorHAnsi"/>
          <w:b/>
          <w:sz w:val="24"/>
          <w:szCs w:val="24"/>
        </w:rPr>
        <w:t>Smlouva o využití obecního systému odpadového hospodářství a zajištění zpětného odběru elektrozařízení</w:t>
      </w:r>
    </w:p>
    <w:p w14:paraId="29664F0E" w14:textId="16B59B7C" w:rsidR="001146A6" w:rsidRPr="005300F2" w:rsidRDefault="001146A6" w:rsidP="00E719C7">
      <w:pPr>
        <w:autoSpaceDE w:val="0"/>
        <w:autoSpaceDN w:val="0"/>
        <w:adjustRightInd w:val="0"/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5300F2">
        <w:rPr>
          <w:rFonts w:cstheme="minorHAnsi"/>
          <w:sz w:val="24"/>
          <w:szCs w:val="24"/>
        </w:rPr>
        <w:t xml:space="preserve">Bonus obci náleží při </w:t>
      </w:r>
      <w:r w:rsidRPr="002A7C21">
        <w:rPr>
          <w:rFonts w:cs="Calibri (Základní text)"/>
          <w:sz w:val="24"/>
          <w:szCs w:val="24"/>
        </w:rPr>
        <w:t>dosažení</w:t>
      </w:r>
      <w:r w:rsidRPr="005300F2">
        <w:rPr>
          <w:rFonts w:cstheme="minorHAnsi"/>
          <w:sz w:val="24"/>
          <w:szCs w:val="24"/>
        </w:rPr>
        <w:t xml:space="preserve"> výtěžnosti na obyvatele obce, a to ve výši na základě</w:t>
      </w:r>
      <w:r w:rsidR="005300F2">
        <w:rPr>
          <w:rFonts w:cstheme="minorHAnsi"/>
          <w:sz w:val="24"/>
          <w:szCs w:val="24"/>
        </w:rPr>
        <w:t xml:space="preserve"> </w:t>
      </w:r>
      <w:r w:rsidRPr="005300F2">
        <w:rPr>
          <w:rFonts w:cstheme="minorHAnsi"/>
          <w:sz w:val="24"/>
          <w:szCs w:val="24"/>
        </w:rPr>
        <w:t>stanoveného rozsahu: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4416"/>
      </w:tblGrid>
      <w:tr w:rsidR="001146A6" w:rsidRPr="005300F2" w14:paraId="0BF061BB" w14:textId="77777777" w:rsidTr="00E719C7">
        <w:trPr>
          <w:trHeight w:val="288"/>
          <w:jc w:val="center"/>
        </w:trPr>
        <w:tc>
          <w:tcPr>
            <w:tcW w:w="4670" w:type="dxa"/>
            <w:shd w:val="clear" w:color="auto" w:fill="auto"/>
            <w:noWrap/>
            <w:vAlign w:val="center"/>
            <w:hideMark/>
          </w:tcPr>
          <w:p w14:paraId="4312E442" w14:textId="22EBB25D" w:rsidR="001146A6" w:rsidRPr="005300F2" w:rsidRDefault="001146A6" w:rsidP="001146A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Výtěžnost zpětně odebraných velkých a</w:t>
            </w:r>
            <w:r w:rsidR="003A595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malých spotřebičů na obyvatele obce/města v kg za rok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46CB9A6F" w14:textId="08D2B05D" w:rsidR="001146A6" w:rsidRPr="005300F2" w:rsidRDefault="001146A6" w:rsidP="003A59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Roční výše bonusu za zpětně odebrané množství</w:t>
            </w:r>
          </w:p>
        </w:tc>
      </w:tr>
      <w:tr w:rsidR="001146A6" w:rsidRPr="005300F2" w14:paraId="142D50B6" w14:textId="77777777" w:rsidTr="00E719C7">
        <w:trPr>
          <w:trHeight w:val="288"/>
          <w:jc w:val="center"/>
        </w:trPr>
        <w:tc>
          <w:tcPr>
            <w:tcW w:w="4670" w:type="dxa"/>
            <w:shd w:val="clear" w:color="auto" w:fill="auto"/>
            <w:noWrap/>
            <w:vAlign w:val="center"/>
            <w:hideMark/>
          </w:tcPr>
          <w:p w14:paraId="19E57DBC" w14:textId="77777777" w:rsidR="001146A6" w:rsidRPr="005300F2" w:rsidRDefault="001146A6" w:rsidP="001146A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Do 0,5 kg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1415676C" w14:textId="77777777" w:rsidR="001146A6" w:rsidRPr="005300F2" w:rsidRDefault="001146A6" w:rsidP="00114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 Kč/kg</w:t>
            </w:r>
          </w:p>
        </w:tc>
      </w:tr>
      <w:tr w:rsidR="001146A6" w:rsidRPr="005300F2" w14:paraId="38B47844" w14:textId="77777777" w:rsidTr="00E719C7">
        <w:trPr>
          <w:trHeight w:val="288"/>
          <w:jc w:val="center"/>
        </w:trPr>
        <w:tc>
          <w:tcPr>
            <w:tcW w:w="4670" w:type="dxa"/>
            <w:shd w:val="clear" w:color="auto" w:fill="auto"/>
            <w:noWrap/>
            <w:vAlign w:val="center"/>
            <w:hideMark/>
          </w:tcPr>
          <w:p w14:paraId="297E0B9E" w14:textId="77777777" w:rsidR="001146A6" w:rsidRPr="005300F2" w:rsidRDefault="001146A6" w:rsidP="001146A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Od 0,51 do 1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63907A66" w14:textId="77777777" w:rsidR="001146A6" w:rsidRPr="005300F2" w:rsidRDefault="001146A6" w:rsidP="00114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0,3 Kč/kg</w:t>
            </w:r>
          </w:p>
        </w:tc>
      </w:tr>
      <w:tr w:rsidR="001146A6" w:rsidRPr="005300F2" w14:paraId="162F855A" w14:textId="77777777" w:rsidTr="00E719C7">
        <w:trPr>
          <w:trHeight w:val="288"/>
          <w:jc w:val="center"/>
        </w:trPr>
        <w:tc>
          <w:tcPr>
            <w:tcW w:w="4670" w:type="dxa"/>
            <w:shd w:val="clear" w:color="auto" w:fill="auto"/>
            <w:noWrap/>
            <w:vAlign w:val="center"/>
            <w:hideMark/>
          </w:tcPr>
          <w:p w14:paraId="7E76A10A" w14:textId="77777777" w:rsidR="001146A6" w:rsidRPr="005300F2" w:rsidRDefault="001146A6" w:rsidP="001146A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Od 1,01 do 2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280D02C2" w14:textId="77777777" w:rsidR="001146A6" w:rsidRPr="005300F2" w:rsidRDefault="001146A6" w:rsidP="00114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0,8 Kč/kg</w:t>
            </w:r>
          </w:p>
        </w:tc>
      </w:tr>
      <w:tr w:rsidR="001146A6" w:rsidRPr="005300F2" w14:paraId="34A3E9F7" w14:textId="77777777" w:rsidTr="00E719C7">
        <w:trPr>
          <w:trHeight w:val="288"/>
          <w:jc w:val="center"/>
        </w:trPr>
        <w:tc>
          <w:tcPr>
            <w:tcW w:w="4670" w:type="dxa"/>
            <w:shd w:val="clear" w:color="auto" w:fill="auto"/>
            <w:noWrap/>
            <w:vAlign w:val="center"/>
            <w:hideMark/>
          </w:tcPr>
          <w:p w14:paraId="381B7C00" w14:textId="77777777" w:rsidR="001146A6" w:rsidRPr="005300F2" w:rsidRDefault="001146A6" w:rsidP="001146A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Od 2,01 do 4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1170EF95" w14:textId="77777777" w:rsidR="001146A6" w:rsidRPr="005300F2" w:rsidRDefault="001146A6" w:rsidP="00114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1,2 Kč/kg</w:t>
            </w:r>
          </w:p>
        </w:tc>
      </w:tr>
      <w:tr w:rsidR="001146A6" w:rsidRPr="005300F2" w14:paraId="7606D231" w14:textId="77777777" w:rsidTr="00E719C7">
        <w:trPr>
          <w:trHeight w:val="288"/>
          <w:jc w:val="center"/>
        </w:trPr>
        <w:tc>
          <w:tcPr>
            <w:tcW w:w="4670" w:type="dxa"/>
            <w:shd w:val="clear" w:color="auto" w:fill="auto"/>
            <w:noWrap/>
            <w:vAlign w:val="center"/>
            <w:hideMark/>
          </w:tcPr>
          <w:p w14:paraId="0F538379" w14:textId="77777777" w:rsidR="001146A6" w:rsidRPr="005300F2" w:rsidRDefault="001146A6" w:rsidP="001146A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Nad 4,01 </w:t>
            </w:r>
          </w:p>
        </w:tc>
        <w:tc>
          <w:tcPr>
            <w:tcW w:w="4416" w:type="dxa"/>
            <w:shd w:val="clear" w:color="auto" w:fill="auto"/>
            <w:noWrap/>
            <w:vAlign w:val="center"/>
            <w:hideMark/>
          </w:tcPr>
          <w:p w14:paraId="11E76B2A" w14:textId="77777777" w:rsidR="001146A6" w:rsidRPr="005300F2" w:rsidRDefault="001146A6" w:rsidP="001146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300F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 Kč/kg</w:t>
            </w:r>
          </w:p>
        </w:tc>
      </w:tr>
    </w:tbl>
    <w:p w14:paraId="72C57ECE" w14:textId="17E8F3DF" w:rsidR="001146A6" w:rsidRPr="005300F2" w:rsidRDefault="001146A6" w:rsidP="00D62594">
      <w:pPr>
        <w:autoSpaceDE w:val="0"/>
        <w:autoSpaceDN w:val="0"/>
        <w:adjustRightInd w:val="0"/>
        <w:spacing w:before="360" w:after="0" w:line="240" w:lineRule="auto"/>
        <w:jc w:val="both"/>
        <w:rPr>
          <w:rFonts w:cstheme="minorHAnsi"/>
          <w:sz w:val="24"/>
          <w:szCs w:val="24"/>
        </w:rPr>
      </w:pPr>
      <w:r w:rsidRPr="005300F2">
        <w:rPr>
          <w:rFonts w:cstheme="minorHAnsi"/>
          <w:sz w:val="24"/>
          <w:szCs w:val="24"/>
        </w:rPr>
        <w:t>Při výpočtu výše bonusu se vychází z celkového množství zpětně odebraných elektrozařízení</w:t>
      </w:r>
      <w:r w:rsidR="00DC7142">
        <w:rPr>
          <w:rFonts w:cstheme="minorHAnsi"/>
          <w:sz w:val="24"/>
          <w:szCs w:val="24"/>
        </w:rPr>
        <w:t xml:space="preserve"> </w:t>
      </w:r>
      <w:r w:rsidRPr="005300F2">
        <w:rPr>
          <w:rFonts w:cstheme="minorHAnsi"/>
          <w:sz w:val="24"/>
          <w:szCs w:val="24"/>
        </w:rPr>
        <w:t>sběrné skupiny velké a malé spotřebiče za kalendářní rok. Výsledek vydělení součtu</w:t>
      </w:r>
      <w:r w:rsidR="001262AF">
        <w:rPr>
          <w:rFonts w:cstheme="minorHAnsi"/>
          <w:sz w:val="24"/>
          <w:szCs w:val="24"/>
        </w:rPr>
        <w:t xml:space="preserve"> </w:t>
      </w:r>
      <w:r w:rsidRPr="005300F2">
        <w:rPr>
          <w:rFonts w:cstheme="minorHAnsi"/>
          <w:sz w:val="24"/>
          <w:szCs w:val="24"/>
        </w:rPr>
        <w:t>hmotností uvedených dopravcem na svozových listech za celý kalendářní rok počtem</w:t>
      </w:r>
      <w:r w:rsidR="001262AF">
        <w:rPr>
          <w:rFonts w:cstheme="minorHAnsi"/>
          <w:sz w:val="24"/>
          <w:szCs w:val="24"/>
        </w:rPr>
        <w:t xml:space="preserve"> </w:t>
      </w:r>
      <w:r w:rsidRPr="005300F2">
        <w:rPr>
          <w:rFonts w:cstheme="minorHAnsi"/>
          <w:sz w:val="24"/>
          <w:szCs w:val="24"/>
        </w:rPr>
        <w:t>obyvatel obce/města, zveřejněných ČSÚ k 31. 12. předchozího kalendářního roku, je základem pro zařazení do příslušné kategorie podle výtěžnosti na obyvatele a rok.</w:t>
      </w:r>
    </w:p>
    <w:p w14:paraId="6C3EFAB1" w14:textId="1189E93D" w:rsidR="001146A6" w:rsidRPr="005300F2" w:rsidRDefault="001146A6" w:rsidP="001262A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300F2">
        <w:rPr>
          <w:rFonts w:cstheme="minorHAnsi"/>
          <w:sz w:val="24"/>
          <w:szCs w:val="24"/>
        </w:rPr>
        <w:t>Pro fakturaci je nutné celkovou hmotnost zpětně odebraných velkých a malých spotřebičů vynásobit částkou odpovídající kategorii podle výtěžnosti na obyvatele.</w:t>
      </w:r>
    </w:p>
    <w:sectPr w:rsidR="001146A6" w:rsidRPr="005300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F208" w14:textId="77777777" w:rsidR="004132E3" w:rsidRDefault="004132E3" w:rsidP="00EE12B3">
      <w:pPr>
        <w:spacing w:after="0" w:line="240" w:lineRule="auto"/>
      </w:pPr>
      <w:r>
        <w:separator/>
      </w:r>
    </w:p>
  </w:endnote>
  <w:endnote w:type="continuationSeparator" w:id="0">
    <w:p w14:paraId="2356EE28" w14:textId="77777777" w:rsidR="004132E3" w:rsidRDefault="004132E3" w:rsidP="00EE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75C7" w14:textId="77777777" w:rsidR="004132E3" w:rsidRDefault="004132E3" w:rsidP="00EE12B3">
      <w:pPr>
        <w:spacing w:after="0" w:line="240" w:lineRule="auto"/>
      </w:pPr>
      <w:r>
        <w:separator/>
      </w:r>
    </w:p>
  </w:footnote>
  <w:footnote w:type="continuationSeparator" w:id="0">
    <w:p w14:paraId="6BEB34B9" w14:textId="77777777" w:rsidR="004132E3" w:rsidRDefault="004132E3" w:rsidP="00EE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DEF2" w14:textId="166F8188" w:rsidR="00EB38D2" w:rsidRDefault="003A5950" w:rsidP="005300F2">
    <w:pPr>
      <w:pStyle w:val="Zhlav"/>
    </w:pPr>
    <w:r>
      <w:tab/>
    </w:r>
    <w:r>
      <w:tab/>
    </w:r>
    <w:r w:rsidR="00EB38D2">
      <w:t>MUA001_2021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45A9"/>
    <w:multiLevelType w:val="hybridMultilevel"/>
    <w:tmpl w:val="C428B4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A6"/>
    <w:rsid w:val="00064EA4"/>
    <w:rsid w:val="001146A6"/>
    <w:rsid w:val="001262AF"/>
    <w:rsid w:val="00161CD3"/>
    <w:rsid w:val="002A7C21"/>
    <w:rsid w:val="003A5950"/>
    <w:rsid w:val="004132E3"/>
    <w:rsid w:val="005300F2"/>
    <w:rsid w:val="006F139C"/>
    <w:rsid w:val="00813B45"/>
    <w:rsid w:val="009B6409"/>
    <w:rsid w:val="00A36DA1"/>
    <w:rsid w:val="00B81BBF"/>
    <w:rsid w:val="00C65B0F"/>
    <w:rsid w:val="00D62594"/>
    <w:rsid w:val="00DC7142"/>
    <w:rsid w:val="00E719C7"/>
    <w:rsid w:val="00EB38D2"/>
    <w:rsid w:val="00EE12B3"/>
    <w:rsid w:val="00F1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742B"/>
  <w15:chartTrackingRefBased/>
  <w15:docId w15:val="{BA8A6DD8-AF35-4884-A883-60485729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6A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2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2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12B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8D2"/>
  </w:style>
  <w:style w:type="paragraph" w:styleId="Zpat">
    <w:name w:val="footer"/>
    <w:basedOn w:val="Normln"/>
    <w:link w:val="ZpatChar"/>
    <w:uiPriority w:val="99"/>
    <w:unhideWhenUsed/>
    <w:rsid w:val="00EB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6E95-B2AB-49C7-A1EA-EF9A0249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2021-05-10T09:56:00Z</dcterms:created>
  <dcterms:modified xsi:type="dcterms:W3CDTF">2021-05-10T09:56:00Z</dcterms:modified>
</cp:coreProperties>
</file>