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44708,00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Přepychy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300m2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11352,00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Sopřeč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Vápno u Přelouče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7457,00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Vlčí Habřina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79442,00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108,11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Chýšť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Kasaličky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26.07.2008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Rohovládova Bělá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22.03.2013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Sopřeč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17.09.2015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34101,00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8 196,31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8 304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27 pachtovní smlouvy č. 86N03/44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