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Fyzikální ústav AV ČR, v.v.i.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Na Slovance 1999/2, 182 21 Praha 8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 RNDr. Michaelem Prouzou, Ph.D., ředitelem 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IČ.: 683 78 271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„Příjemce“)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Biotechnologický ústav AV ČR, v.v.i.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Průmyslová 595, 252 20 Vestec</w:t>
      </w:r>
    </w:p>
    <w:p w:rsid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 </w:t>
      </w:r>
      <w:r w:rsidR="00A91FB0">
        <w:t>prof. Ing. Bohdanem Schneiderem, CSc., DSc.</w:t>
      </w:r>
      <w:r w:rsidR="0092433A">
        <w:rPr>
          <w:rFonts w:ascii="Times New Roman" w:hAnsi="Times New Roman" w:cs="Times New Roman"/>
        </w:rPr>
        <w:t>, ředitel</w:t>
      </w:r>
      <w:r w:rsidR="00A91FB0">
        <w:rPr>
          <w:rFonts w:ascii="Times New Roman" w:hAnsi="Times New Roman" w:cs="Times New Roman"/>
        </w:rPr>
        <w:t>em</w:t>
      </w:r>
    </w:p>
    <w:p w:rsidR="0092433A" w:rsidRDefault="0092433A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IČ.: 866 52 036</w:t>
      </w:r>
    </w:p>
    <w:p w:rsidR="0092433A" w:rsidRDefault="0092433A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„Partner“)</w:t>
      </w:r>
    </w:p>
    <w:p w:rsidR="009E5E01" w:rsidRPr="009E5E01" w:rsidRDefault="009E5E01" w:rsidP="009E5E01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9E5E01" w:rsidRPr="00BD4445" w:rsidRDefault="00BD4445" w:rsidP="00BD444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</w:t>
      </w:r>
      <w:r w:rsidR="00534F9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níže uvedeného dne, měsíce a roku</w:t>
      </w:r>
    </w:p>
    <w:p w:rsidR="009E5E01" w:rsidRPr="00BD4445" w:rsidRDefault="009E5E01" w:rsidP="0092433A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283243" w:rsidRDefault="00BD4445" w:rsidP="00FE5A27">
      <w:pPr>
        <w:pStyle w:val="Bezmez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54C73">
        <w:rPr>
          <w:rFonts w:ascii="Times New Roman" w:hAnsi="Times New Roman" w:cs="Times New Roman"/>
          <w:sz w:val="28"/>
          <w:szCs w:val="28"/>
        </w:rPr>
        <w:t xml:space="preserve">odatek č. </w:t>
      </w:r>
      <w:r w:rsidR="00A91F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ke </w:t>
      </w:r>
      <w:r w:rsidR="00FE5A27" w:rsidRPr="00FE5A27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ě</w:t>
      </w:r>
      <w:r w:rsidR="00FE5A27" w:rsidRPr="00FE5A27">
        <w:rPr>
          <w:rFonts w:ascii="Times New Roman" w:hAnsi="Times New Roman" w:cs="Times New Roman"/>
          <w:sz w:val="28"/>
          <w:szCs w:val="28"/>
        </w:rPr>
        <w:t xml:space="preserve"> o partnerství s finančním příspěvkem</w:t>
      </w:r>
    </w:p>
    <w:p w:rsidR="00BD4445" w:rsidRDefault="00BD4445" w:rsidP="00FE5A27">
      <w:pPr>
        <w:pStyle w:val="Bezmez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445" w:rsidRPr="00DF13EA" w:rsidRDefault="00DF13EA" w:rsidP="00FE5A27">
      <w:pPr>
        <w:pStyle w:val="Bezmezer"/>
        <w:spacing w:line="360" w:lineRule="auto"/>
        <w:jc w:val="center"/>
        <w:rPr>
          <w:rFonts w:ascii="Times New Roman" w:hAnsi="Times New Roman" w:cs="Times New Roman"/>
        </w:rPr>
      </w:pPr>
      <w:r w:rsidRPr="00DF13EA">
        <w:rPr>
          <w:rFonts w:ascii="Times New Roman" w:hAnsi="Times New Roman" w:cs="Times New Roman"/>
        </w:rPr>
        <w:t>I.</w:t>
      </w:r>
    </w:p>
    <w:p w:rsidR="00DF13EA" w:rsidRPr="00DF13EA" w:rsidRDefault="00DF13EA" w:rsidP="00FE5A27">
      <w:pPr>
        <w:pStyle w:val="Bezmezer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Úvodní ustanovení</w:t>
      </w:r>
    </w:p>
    <w:p w:rsidR="00FE5A27" w:rsidRDefault="00DF13EA" w:rsidP="009B2B8F">
      <w:pPr>
        <w:pStyle w:val="Bezmezer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uzavřely dne 7.12.2016 Smlouv</w:t>
      </w:r>
      <w:r w:rsidR="00534F9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 partnerství s finančním příspěvkem (dále jen „Smlouva“).</w:t>
      </w:r>
    </w:p>
    <w:p w:rsidR="00C13FFE" w:rsidRDefault="00E63F74" w:rsidP="009B2B8F">
      <w:pPr>
        <w:pStyle w:val="Bezmezer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13FFE">
        <w:rPr>
          <w:rFonts w:ascii="Times New Roman" w:hAnsi="Times New Roman" w:cs="Times New Roman"/>
        </w:rPr>
        <w:t xml:space="preserve">mluvní strany se dohodly, že tímto dodatkem se mění Příloha č. 2 </w:t>
      </w:r>
      <w:r w:rsidR="00A91FB0">
        <w:rPr>
          <w:rFonts w:ascii="Times New Roman" w:hAnsi="Times New Roman" w:cs="Times New Roman"/>
        </w:rPr>
        <w:t xml:space="preserve">a Příloha č. 3 </w:t>
      </w:r>
      <w:r w:rsidR="00C13FFE">
        <w:rPr>
          <w:rFonts w:ascii="Times New Roman" w:hAnsi="Times New Roman" w:cs="Times New Roman"/>
        </w:rPr>
        <w:t>Smlouvy. Příloh</w:t>
      </w:r>
      <w:r w:rsidR="00A91FB0">
        <w:rPr>
          <w:rFonts w:ascii="Times New Roman" w:hAnsi="Times New Roman" w:cs="Times New Roman"/>
        </w:rPr>
        <w:t>y</w:t>
      </w:r>
      <w:r w:rsidR="00C13FFE">
        <w:rPr>
          <w:rFonts w:ascii="Times New Roman" w:hAnsi="Times New Roman" w:cs="Times New Roman"/>
        </w:rPr>
        <w:t xml:space="preserve"> č. 2 </w:t>
      </w:r>
      <w:r w:rsidR="00A91FB0">
        <w:rPr>
          <w:rFonts w:ascii="Times New Roman" w:hAnsi="Times New Roman" w:cs="Times New Roman"/>
        </w:rPr>
        <w:t xml:space="preserve">a 3 </w:t>
      </w:r>
      <w:r w:rsidR="00534F99">
        <w:rPr>
          <w:rFonts w:ascii="Times New Roman" w:hAnsi="Times New Roman" w:cs="Times New Roman"/>
        </w:rPr>
        <w:t xml:space="preserve">v novém znění </w:t>
      </w:r>
      <w:r w:rsidR="00C13FFE">
        <w:rPr>
          <w:rFonts w:ascii="Times New Roman" w:hAnsi="Times New Roman" w:cs="Times New Roman"/>
        </w:rPr>
        <w:t>j</w:t>
      </w:r>
      <w:r w:rsidR="00A91FB0">
        <w:rPr>
          <w:rFonts w:ascii="Times New Roman" w:hAnsi="Times New Roman" w:cs="Times New Roman"/>
        </w:rPr>
        <w:t>sou</w:t>
      </w:r>
      <w:r w:rsidR="00C13FFE">
        <w:rPr>
          <w:rFonts w:ascii="Times New Roman" w:hAnsi="Times New Roman" w:cs="Times New Roman"/>
        </w:rPr>
        <w:t xml:space="preserve"> nedílnou součástí tohoto </w:t>
      </w:r>
      <w:r w:rsidR="00534F99">
        <w:rPr>
          <w:rFonts w:ascii="Times New Roman" w:hAnsi="Times New Roman" w:cs="Times New Roman"/>
        </w:rPr>
        <w:t>d</w:t>
      </w:r>
      <w:r w:rsidR="00C13FFE">
        <w:rPr>
          <w:rFonts w:ascii="Times New Roman" w:hAnsi="Times New Roman" w:cs="Times New Roman"/>
        </w:rPr>
        <w:t>odatku.</w:t>
      </w:r>
    </w:p>
    <w:p w:rsidR="003F5A1F" w:rsidRPr="004524A6" w:rsidRDefault="003F5A1F" w:rsidP="009B2B8F">
      <w:pPr>
        <w:pStyle w:val="Bezmezer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524A6">
        <w:rPr>
          <w:rFonts w:ascii="Times New Roman" w:hAnsi="Times New Roman" w:cs="Times New Roman"/>
        </w:rPr>
        <w:t xml:space="preserve">Smluvní strany se dohodly, že tímto dodatkem se </w:t>
      </w:r>
      <w:r w:rsidR="004524A6" w:rsidRPr="004524A6">
        <w:rPr>
          <w:rFonts w:ascii="Times New Roman" w:hAnsi="Times New Roman" w:cs="Times New Roman"/>
        </w:rPr>
        <w:t>mění</w:t>
      </w:r>
      <w:r w:rsidRPr="004524A6">
        <w:rPr>
          <w:rFonts w:ascii="Times New Roman" w:hAnsi="Times New Roman" w:cs="Times New Roman"/>
        </w:rPr>
        <w:t xml:space="preserve"> Člá</w:t>
      </w:r>
      <w:r w:rsidR="004524A6" w:rsidRPr="004524A6">
        <w:rPr>
          <w:rFonts w:ascii="Times New Roman" w:hAnsi="Times New Roman" w:cs="Times New Roman"/>
        </w:rPr>
        <w:t>nek</w:t>
      </w:r>
      <w:r w:rsidRPr="004524A6">
        <w:rPr>
          <w:rFonts w:ascii="Times New Roman" w:hAnsi="Times New Roman" w:cs="Times New Roman"/>
        </w:rPr>
        <w:t xml:space="preserve"> IV odst. </w:t>
      </w:r>
      <w:r w:rsidR="004524A6" w:rsidRPr="004524A6">
        <w:rPr>
          <w:rFonts w:ascii="Times New Roman" w:hAnsi="Times New Roman" w:cs="Times New Roman"/>
        </w:rPr>
        <w:t>6</w:t>
      </w:r>
      <w:r w:rsidRPr="004524A6">
        <w:rPr>
          <w:rFonts w:ascii="Times New Roman" w:hAnsi="Times New Roman" w:cs="Times New Roman"/>
        </w:rPr>
        <w:t xml:space="preserve"> této Smlouvy </w:t>
      </w:r>
      <w:r w:rsidR="00C95B49" w:rsidRPr="004524A6">
        <w:rPr>
          <w:rFonts w:ascii="Times New Roman" w:hAnsi="Times New Roman" w:cs="Times New Roman"/>
        </w:rPr>
        <w:t xml:space="preserve">následujícím </w:t>
      </w:r>
      <w:r w:rsidR="004524A6" w:rsidRPr="004524A6">
        <w:rPr>
          <w:rFonts w:ascii="Times New Roman" w:hAnsi="Times New Roman" w:cs="Times New Roman"/>
        </w:rPr>
        <w:t>způsobem</w:t>
      </w:r>
      <w:r w:rsidRPr="004524A6">
        <w:rPr>
          <w:rFonts w:ascii="Times New Roman" w:hAnsi="Times New Roman" w:cs="Times New Roman"/>
        </w:rPr>
        <w:t>:</w:t>
      </w:r>
    </w:p>
    <w:p w:rsidR="000D24E1" w:rsidRPr="000D24E1" w:rsidRDefault="000D24E1" w:rsidP="00534F99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i/>
        </w:rPr>
      </w:pPr>
      <w:r w:rsidRPr="000D24E1">
        <w:rPr>
          <w:rFonts w:ascii="Times New Roman" w:hAnsi="Times New Roman" w:cs="Times New Roman"/>
          <w:i/>
        </w:rPr>
        <w:t>Způsobilé výdaje vzniklé při realizaci Projektu budou hrazeny Partnerovi takto:</w:t>
      </w:r>
    </w:p>
    <w:p w:rsidR="004524A6" w:rsidRDefault="000D24E1" w:rsidP="00534F99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i/>
        </w:rPr>
      </w:pPr>
      <w:r w:rsidRPr="000D24E1">
        <w:rPr>
          <w:rFonts w:ascii="Times New Roman" w:hAnsi="Times New Roman" w:cs="Times New Roman"/>
          <w:i/>
        </w:rPr>
        <w:t>Příjemce poskytne Partnerovi první zálohu ve výši 10 087 485,34 Kč do deseti pracovních</w:t>
      </w:r>
      <w:r w:rsidR="00534F99"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dnů od obdržení finančních prostředků ze strany Poskytovatele dotace.</w:t>
      </w:r>
      <w:r w:rsidR="00534F99"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Partner je povinen tuto i každou další zálohu příjemci řádně vyúčtovat a výdaje prokázat</w:t>
      </w:r>
      <w:r w:rsidR="00534F99"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účetními doklady. Další zálohu Příjemce Partnerovi poskytne na základě předloženého</w:t>
      </w:r>
      <w:r w:rsidR="00534F99"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vyúčtování, a to ve výši dle aktuálně platného finančního plánu projektu. Zálohu (a každou</w:t>
      </w:r>
      <w:r w:rsidR="00534F99"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další) je Příjemce povinen poskytnout Partnerovi nejpozději do deseti pracovních dnů od</w:t>
      </w:r>
      <w:r w:rsidR="00534F99"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obdržení finančních prostředků ze strany Poskytovatele dotace. Příjemce poskytne</w:t>
      </w:r>
      <w:r w:rsidR="00534F99"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Partnerovi maximálně 95 %</w:t>
      </w:r>
      <w:r>
        <w:rPr>
          <w:rFonts w:ascii="Times New Roman" w:hAnsi="Times New Roman" w:cs="Times New Roman"/>
          <w:i/>
        </w:rPr>
        <w:t xml:space="preserve"> </w:t>
      </w:r>
      <w:r w:rsidRPr="000D24E1">
        <w:rPr>
          <w:rFonts w:ascii="Times New Roman" w:hAnsi="Times New Roman" w:cs="Times New Roman"/>
          <w:i/>
        </w:rPr>
        <w:t>prostředků stanovených v čl. IV., odst. 2 této Smlouvy</w:t>
      </w:r>
      <w:r w:rsidR="004524A6" w:rsidRPr="004524A6">
        <w:rPr>
          <w:rFonts w:ascii="Times New Roman" w:hAnsi="Times New Roman" w:cs="Times New Roman"/>
          <w:i/>
        </w:rPr>
        <w:t>.</w:t>
      </w:r>
    </w:p>
    <w:p w:rsidR="003F5A1F" w:rsidRPr="00FE5A27" w:rsidRDefault="00C95B49" w:rsidP="004524A6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C95B49">
        <w:rPr>
          <w:rFonts w:ascii="Times New Roman" w:hAnsi="Times New Roman" w:cs="Times New Roman"/>
          <w:i/>
        </w:rPr>
        <w:t xml:space="preserve">Po schválení závěrečné ŽoP ze strany Poskytovatele dotace, vyzve příjemce </w:t>
      </w:r>
      <w:r>
        <w:rPr>
          <w:rFonts w:ascii="Times New Roman" w:hAnsi="Times New Roman" w:cs="Times New Roman"/>
          <w:i/>
        </w:rPr>
        <w:t>P</w:t>
      </w:r>
      <w:r w:rsidRPr="00C95B49">
        <w:rPr>
          <w:rFonts w:ascii="Times New Roman" w:hAnsi="Times New Roman" w:cs="Times New Roman"/>
          <w:i/>
        </w:rPr>
        <w:t>artnera k vrácení případných nevyčerpaných finančních prostředků</w:t>
      </w:r>
      <w:r w:rsidR="00316BE7">
        <w:rPr>
          <w:rFonts w:ascii="Times New Roman" w:hAnsi="Times New Roman" w:cs="Times New Roman"/>
          <w:i/>
        </w:rPr>
        <w:t>,</w:t>
      </w:r>
      <w:r w:rsidR="006073CD">
        <w:rPr>
          <w:rFonts w:ascii="Times New Roman" w:hAnsi="Times New Roman" w:cs="Times New Roman"/>
          <w:i/>
        </w:rPr>
        <w:t xml:space="preserve"> tj. část zálohy, která nebyla řádně vyúčtována resp. </w:t>
      </w:r>
      <w:r w:rsidR="00534F99">
        <w:rPr>
          <w:rFonts w:ascii="Times New Roman" w:hAnsi="Times New Roman" w:cs="Times New Roman"/>
          <w:i/>
        </w:rPr>
        <w:t xml:space="preserve">se jedná o </w:t>
      </w:r>
      <w:r w:rsidR="006073CD" w:rsidRPr="00C95B49">
        <w:rPr>
          <w:rFonts w:ascii="Times New Roman" w:hAnsi="Times New Roman" w:cs="Times New Roman"/>
          <w:i/>
        </w:rPr>
        <w:t xml:space="preserve">výdaje, které nebyly </w:t>
      </w:r>
      <w:r w:rsidR="006073CD">
        <w:rPr>
          <w:rFonts w:ascii="Times New Roman" w:hAnsi="Times New Roman" w:cs="Times New Roman"/>
          <w:i/>
        </w:rPr>
        <w:t xml:space="preserve">Partnerem </w:t>
      </w:r>
      <w:r w:rsidR="006073CD" w:rsidRPr="00C95B49">
        <w:rPr>
          <w:rFonts w:ascii="Times New Roman" w:hAnsi="Times New Roman" w:cs="Times New Roman"/>
          <w:i/>
        </w:rPr>
        <w:t>předloženy ke schválení Poskytovali dotace v rámci ŽoP, nebo byly předloženy a</w:t>
      </w:r>
      <w:r w:rsidR="00534F99">
        <w:rPr>
          <w:rFonts w:ascii="Times New Roman" w:hAnsi="Times New Roman" w:cs="Times New Roman"/>
          <w:i/>
        </w:rPr>
        <w:t>le</w:t>
      </w:r>
      <w:r w:rsidR="006073CD" w:rsidRPr="00C95B49">
        <w:rPr>
          <w:rFonts w:ascii="Times New Roman" w:hAnsi="Times New Roman" w:cs="Times New Roman"/>
          <w:i/>
        </w:rPr>
        <w:t xml:space="preserve"> Poskytovatelem dotace vyhodnoceny jako neuznatelné</w:t>
      </w:r>
      <w:r w:rsidR="006073CD">
        <w:rPr>
          <w:rFonts w:ascii="Times New Roman" w:hAnsi="Times New Roman" w:cs="Times New Roman"/>
          <w:i/>
        </w:rPr>
        <w:t>,</w:t>
      </w:r>
      <w:r w:rsidR="006073CD" w:rsidRPr="00C95B49">
        <w:rPr>
          <w:rFonts w:ascii="Times New Roman" w:hAnsi="Times New Roman" w:cs="Times New Roman"/>
          <w:i/>
        </w:rPr>
        <w:t xml:space="preserve"> </w:t>
      </w:r>
      <w:r w:rsidRPr="00C95B49">
        <w:rPr>
          <w:rFonts w:ascii="Times New Roman" w:hAnsi="Times New Roman" w:cs="Times New Roman"/>
          <w:i/>
        </w:rPr>
        <w:t xml:space="preserve">zpět na účet </w:t>
      </w:r>
      <w:r>
        <w:rPr>
          <w:rFonts w:ascii="Times New Roman" w:hAnsi="Times New Roman" w:cs="Times New Roman"/>
          <w:i/>
        </w:rPr>
        <w:t>P</w:t>
      </w:r>
      <w:r w:rsidRPr="00C95B49">
        <w:rPr>
          <w:rFonts w:ascii="Times New Roman" w:hAnsi="Times New Roman" w:cs="Times New Roman"/>
          <w:i/>
        </w:rPr>
        <w:t xml:space="preserve">říjemce. Partner zašle nevyčerpané prostředky </w:t>
      </w:r>
      <w:r>
        <w:rPr>
          <w:rFonts w:ascii="Times New Roman" w:hAnsi="Times New Roman" w:cs="Times New Roman"/>
          <w:i/>
        </w:rPr>
        <w:t>P</w:t>
      </w:r>
      <w:r w:rsidRPr="00C95B49">
        <w:rPr>
          <w:rFonts w:ascii="Times New Roman" w:hAnsi="Times New Roman" w:cs="Times New Roman"/>
          <w:i/>
        </w:rPr>
        <w:t>říjemci do deseti pracovních dnů od obdržení výzvy k vrácení.</w:t>
      </w:r>
    </w:p>
    <w:p w:rsidR="00932FDE" w:rsidRDefault="00F730A5" w:rsidP="00F730A5">
      <w:pPr>
        <w:pStyle w:val="Bezmezer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ujednání Smlouvy se tímto dodatkem nemění.</w:t>
      </w:r>
    </w:p>
    <w:p w:rsidR="00F730A5" w:rsidRDefault="00F730A5" w:rsidP="00F730A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F730A5" w:rsidRDefault="00F730A5" w:rsidP="00F730A5">
      <w:pPr>
        <w:pStyle w:val="Bezmezer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F730A5" w:rsidRDefault="00F730A5" w:rsidP="00F730A5">
      <w:pPr>
        <w:pStyle w:val="Bezmezer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</w:t>
      </w:r>
    </w:p>
    <w:p w:rsidR="00F730A5" w:rsidRDefault="00F730A5" w:rsidP="00F730A5">
      <w:pPr>
        <w:pStyle w:val="Bezmezer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34F99">
        <w:rPr>
          <w:rFonts w:ascii="Times New Roman" w:hAnsi="Times New Roman" w:cs="Times New Roman"/>
        </w:rPr>
        <w:t>ento</w:t>
      </w:r>
      <w:r>
        <w:rPr>
          <w:rFonts w:ascii="Times New Roman" w:hAnsi="Times New Roman" w:cs="Times New Roman"/>
        </w:rPr>
        <w:t xml:space="preserve"> do</w:t>
      </w:r>
      <w:r w:rsidR="00534F99">
        <w:rPr>
          <w:rFonts w:ascii="Times New Roman" w:hAnsi="Times New Roman" w:cs="Times New Roman"/>
        </w:rPr>
        <w:t>datek</w:t>
      </w:r>
      <w:r>
        <w:rPr>
          <w:rFonts w:ascii="Times New Roman" w:hAnsi="Times New Roman" w:cs="Times New Roman"/>
        </w:rPr>
        <w:t xml:space="preserve"> je vyhotoven</w:t>
      </w:r>
      <w:r w:rsidR="00534F99">
        <w:rPr>
          <w:rFonts w:ascii="Times New Roman" w:hAnsi="Times New Roman" w:cs="Times New Roman"/>
        </w:rPr>
        <w:t xml:space="preserve"> v elektronické podobě a opatřen elektronickými podpisy stran</w:t>
      </w:r>
      <w:r>
        <w:rPr>
          <w:rFonts w:ascii="Times New Roman" w:hAnsi="Times New Roman" w:cs="Times New Roman"/>
        </w:rPr>
        <w:t>.</w:t>
      </w:r>
    </w:p>
    <w:p w:rsidR="00F730A5" w:rsidRDefault="00F730A5" w:rsidP="00F730A5">
      <w:pPr>
        <w:pStyle w:val="Bezmezer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tohoto dodatku je nové znění Přílohy č. 2 </w:t>
      </w:r>
      <w:r w:rsidR="00C95B49">
        <w:rPr>
          <w:rFonts w:ascii="Times New Roman" w:hAnsi="Times New Roman" w:cs="Times New Roman"/>
        </w:rPr>
        <w:t xml:space="preserve">a Přílohy č. 3 </w:t>
      </w:r>
      <w:r>
        <w:rPr>
          <w:rFonts w:ascii="Times New Roman" w:hAnsi="Times New Roman" w:cs="Times New Roman"/>
        </w:rPr>
        <w:t>Smlouvy.</w:t>
      </w:r>
    </w:p>
    <w:p w:rsidR="0085070B" w:rsidRPr="00CF12F9" w:rsidRDefault="0085070B" w:rsidP="0085070B">
      <w:pPr>
        <w:pStyle w:val="Nadpis2"/>
        <w:numPr>
          <w:ilvl w:val="0"/>
          <w:numId w:val="12"/>
        </w:numPr>
        <w:ind w:left="284" w:hanging="284"/>
        <w:rPr>
          <w:lang w:val="cs-CZ" w:eastAsia="en-US"/>
        </w:rPr>
      </w:pPr>
      <w:r w:rsidRPr="00CF12F9">
        <w:rPr>
          <w:lang w:val="cs-CZ" w:eastAsia="en-US"/>
        </w:rPr>
        <w:t>T</w:t>
      </w:r>
      <w:r w:rsidR="00AB4531">
        <w:rPr>
          <w:lang w:val="cs-CZ" w:eastAsia="en-US"/>
        </w:rPr>
        <w:t>ento</w:t>
      </w:r>
      <w:r w:rsidRPr="00CF12F9">
        <w:rPr>
          <w:lang w:val="cs-CZ" w:eastAsia="en-US"/>
        </w:rPr>
        <w:t xml:space="preserve"> </w:t>
      </w:r>
      <w:r w:rsidR="00AB4531">
        <w:rPr>
          <w:lang w:val="cs-CZ" w:eastAsia="en-US"/>
        </w:rPr>
        <w:t>dodatek</w:t>
      </w:r>
      <w:r w:rsidRPr="00CF12F9">
        <w:rPr>
          <w:lang w:val="cs-CZ" w:eastAsia="en-US"/>
        </w:rPr>
        <w:t xml:space="preserve"> nabývá platnosti dnem je</w:t>
      </w:r>
      <w:r w:rsidR="00AB4531">
        <w:rPr>
          <w:lang w:val="cs-CZ" w:eastAsia="en-US"/>
        </w:rPr>
        <w:t>ho</w:t>
      </w:r>
      <w:r w:rsidRPr="00CF12F9">
        <w:rPr>
          <w:lang w:val="cs-CZ" w:eastAsia="en-US"/>
        </w:rPr>
        <w:t xml:space="preserve"> podpisu oběma </w:t>
      </w:r>
      <w:r w:rsidR="00AB4531">
        <w:rPr>
          <w:lang w:val="cs-CZ" w:eastAsia="en-US"/>
        </w:rPr>
        <w:t>s</w:t>
      </w:r>
      <w:r w:rsidRPr="00CF12F9">
        <w:rPr>
          <w:lang w:val="cs-CZ" w:eastAsia="en-US"/>
        </w:rPr>
        <w:t>tranami</w:t>
      </w:r>
      <w:r>
        <w:rPr>
          <w:lang w:val="cs-CZ" w:eastAsia="en-US"/>
        </w:rPr>
        <w:t xml:space="preserve"> a účinnosti dnem je</w:t>
      </w:r>
      <w:r w:rsidR="00AB4531">
        <w:rPr>
          <w:lang w:val="cs-CZ" w:eastAsia="en-US"/>
        </w:rPr>
        <w:t>ho</w:t>
      </w:r>
      <w:r>
        <w:rPr>
          <w:lang w:val="cs-CZ" w:eastAsia="en-US"/>
        </w:rPr>
        <w:t xml:space="preserve"> uveřejnění v registru smluv dle ustanovení § 6 odst. 1 zákona č. 340/2015 Sb., o zvláštních podmínkách účinnosti některých smluv, uveřejňování těchto smluv a o registru smluv, v platném znění.</w:t>
      </w:r>
    </w:p>
    <w:p w:rsidR="00E54C73" w:rsidRPr="00411E56" w:rsidRDefault="00E54C73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D05DC3" w:rsidRDefault="00D05DC3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B4531" w:rsidRDefault="00AB4531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B4531" w:rsidRDefault="00AB4531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B4531" w:rsidRDefault="00AB4531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B4531" w:rsidRDefault="00AB4531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B4531" w:rsidRDefault="00AB4531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  <w:sectPr w:rsidR="00AB453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1543" w:rsidRDefault="00411E56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411E56">
        <w:rPr>
          <w:rFonts w:ascii="Times New Roman" w:hAnsi="Times New Roman" w:cs="Times New Roman"/>
        </w:rPr>
        <w:t xml:space="preserve"> </w:t>
      </w:r>
    </w:p>
    <w:p w:rsidR="00D05DC3" w:rsidRDefault="00D05DC3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05DC3" w:rsidRDefault="00D05DC3" w:rsidP="00517BE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</w:t>
      </w:r>
    </w:p>
    <w:p w:rsidR="00D05DC3" w:rsidRDefault="00D05DC3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B4531" w:rsidRDefault="00AB4531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D05DC3" w:rsidRPr="00411E56" w:rsidRDefault="00D05DC3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11E56" w:rsidRPr="00411E56" w:rsidRDefault="00411E56" w:rsidP="00411E5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411E56">
        <w:rPr>
          <w:rFonts w:ascii="Times New Roman" w:hAnsi="Times New Roman" w:cs="Times New Roman"/>
        </w:rPr>
        <w:t>Partner</w:t>
      </w:r>
    </w:p>
    <w:p w:rsidR="00D05DC3" w:rsidRDefault="00D05DC3">
      <w:pPr>
        <w:rPr>
          <w:rFonts w:ascii="Times New Roman" w:hAnsi="Times New Roman" w:cs="Times New Roman"/>
        </w:rPr>
        <w:sectPr w:rsidR="00D05DC3" w:rsidSect="00D05D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7B45" w:rsidRDefault="00237B45" w:rsidP="00D67A1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237B45" w:rsidRPr="00237B45" w:rsidRDefault="00237B45" w:rsidP="00237B45"/>
    <w:p w:rsidR="00237B45" w:rsidRPr="00237B45" w:rsidRDefault="00237B45" w:rsidP="00237B45"/>
    <w:p w:rsidR="00237B45" w:rsidRPr="00237B45" w:rsidRDefault="00237B45" w:rsidP="00237B45"/>
    <w:p w:rsidR="00237B45" w:rsidRDefault="00237B45" w:rsidP="00237B45"/>
    <w:p w:rsidR="00001ED6" w:rsidRDefault="00001ED6" w:rsidP="00237B45"/>
    <w:p w:rsidR="00237B45" w:rsidRDefault="00237B45" w:rsidP="00237B45"/>
    <w:p w:rsidR="00237B45" w:rsidRDefault="00237B45" w:rsidP="00237B45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163"/>
        <w:gridCol w:w="2932"/>
        <w:gridCol w:w="1723"/>
        <w:gridCol w:w="1832"/>
        <w:gridCol w:w="1845"/>
      </w:tblGrid>
      <w:tr w:rsidR="00237B45" w:rsidRPr="00237B45" w:rsidTr="00237B45">
        <w:trPr>
          <w:trHeight w:val="290"/>
        </w:trPr>
        <w:tc>
          <w:tcPr>
            <w:tcW w:w="4093" w:type="dxa"/>
            <w:gridSpan w:val="2"/>
            <w:noWrap/>
            <w:hideMark/>
          </w:tcPr>
          <w:p w:rsidR="00237B45" w:rsidRPr="00237B45" w:rsidRDefault="00237B45">
            <w:pPr>
              <w:rPr>
                <w:b/>
                <w:bCs/>
              </w:rPr>
            </w:pPr>
            <w:r w:rsidRPr="00237B45">
              <w:rPr>
                <w:b/>
                <w:bCs/>
              </w:rPr>
              <w:t>Příloha č. 2: Rozpočet Projektu</w:t>
            </w:r>
          </w:p>
        </w:tc>
        <w:tc>
          <w:tcPr>
            <w:tcW w:w="5400" w:type="dxa"/>
            <w:gridSpan w:val="3"/>
            <w:noWrap/>
            <w:hideMark/>
          </w:tcPr>
          <w:p w:rsidR="00237B45" w:rsidRPr="00237B45" w:rsidRDefault="00237B45">
            <w:pPr>
              <w:rPr>
                <w:b/>
                <w:bCs/>
              </w:rPr>
            </w:pP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 w:rsidP="00237B45"/>
        </w:tc>
        <w:tc>
          <w:tcPr>
            <w:tcW w:w="2932" w:type="dxa"/>
            <w:noWrap/>
            <w:hideMark/>
          </w:tcPr>
          <w:p w:rsidR="00237B45" w:rsidRPr="00237B45" w:rsidRDefault="00237B45"/>
        </w:tc>
        <w:tc>
          <w:tcPr>
            <w:tcW w:w="1723" w:type="dxa"/>
            <w:noWrap/>
            <w:hideMark/>
          </w:tcPr>
          <w:p w:rsidR="00237B45" w:rsidRPr="00237B45" w:rsidRDefault="00237B45" w:rsidP="00085173">
            <w:pPr>
              <w:jc w:val="center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085173">
            <w:pPr>
              <w:jc w:val="center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085173">
            <w:pPr>
              <w:jc w:val="center"/>
            </w:pPr>
          </w:p>
        </w:tc>
      </w:tr>
      <w:tr w:rsidR="00237B45" w:rsidRPr="00237B45" w:rsidTr="00237B45">
        <w:trPr>
          <w:trHeight w:val="300"/>
        </w:trPr>
        <w:tc>
          <w:tcPr>
            <w:tcW w:w="1161" w:type="dxa"/>
            <w:noWrap/>
            <w:hideMark/>
          </w:tcPr>
          <w:p w:rsidR="00237B45" w:rsidRPr="00237B45" w:rsidRDefault="00237B45">
            <w:pPr>
              <w:rPr>
                <w:b/>
                <w:bCs/>
              </w:rPr>
            </w:pPr>
            <w:r w:rsidRPr="00237B45">
              <w:rPr>
                <w:b/>
                <w:bCs/>
              </w:rPr>
              <w:t>Kód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pPr>
              <w:rPr>
                <w:b/>
                <w:bCs/>
              </w:rPr>
            </w:pPr>
            <w:r w:rsidRPr="00237B45">
              <w:rPr>
                <w:b/>
                <w:bCs/>
              </w:rPr>
              <w:t>Název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085173">
            <w:pPr>
              <w:jc w:val="center"/>
              <w:rPr>
                <w:b/>
                <w:bCs/>
              </w:rPr>
            </w:pPr>
            <w:r w:rsidRPr="00237B45">
              <w:rPr>
                <w:b/>
                <w:bCs/>
              </w:rPr>
              <w:t>ELI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085173">
            <w:pPr>
              <w:jc w:val="center"/>
              <w:rPr>
                <w:b/>
                <w:bCs/>
              </w:rPr>
            </w:pPr>
            <w:r w:rsidRPr="00237B45">
              <w:rPr>
                <w:b/>
                <w:bCs/>
              </w:rPr>
              <w:t>IBT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085173">
            <w:pPr>
              <w:jc w:val="center"/>
              <w:rPr>
                <w:b/>
                <w:bCs/>
              </w:rPr>
            </w:pPr>
            <w:r w:rsidRPr="00237B45">
              <w:rPr>
                <w:b/>
                <w:bCs/>
              </w:rPr>
              <w:t>ELIBIO CELKEM</w:t>
            </w:r>
          </w:p>
        </w:tc>
      </w:tr>
      <w:tr w:rsidR="00237B45" w:rsidRPr="00237B45" w:rsidTr="00237B45">
        <w:trPr>
          <w:trHeight w:val="300"/>
        </w:trPr>
        <w:tc>
          <w:tcPr>
            <w:tcW w:w="1161" w:type="dxa"/>
            <w:noWrap/>
            <w:hideMark/>
          </w:tcPr>
          <w:p w:rsidR="00237B45" w:rsidRPr="00237B45" w:rsidRDefault="00237B45">
            <w:pPr>
              <w:rPr>
                <w:b/>
                <w:bCs/>
              </w:rPr>
            </w:pPr>
            <w:r w:rsidRPr="00237B45">
              <w:rPr>
                <w:b/>
                <w:bCs/>
              </w:rPr>
              <w:t>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pPr>
              <w:rPr>
                <w:b/>
                <w:bCs/>
              </w:rPr>
            </w:pPr>
            <w:r w:rsidRPr="00237B45">
              <w:rPr>
                <w:b/>
                <w:bCs/>
              </w:rPr>
              <w:t>Celkové způsobilé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  <w:rPr>
                <w:b/>
                <w:bCs/>
              </w:rPr>
            </w:pPr>
            <w:r w:rsidRPr="00237B45">
              <w:rPr>
                <w:b/>
                <w:bCs/>
              </w:rPr>
              <w:t>173 913 285,59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  <w:rPr>
                <w:b/>
                <w:bCs/>
              </w:rPr>
            </w:pPr>
            <w:r w:rsidRPr="00237B45">
              <w:rPr>
                <w:b/>
                <w:bCs/>
              </w:rPr>
              <w:t>71 144 051,61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  <w:rPr>
                <w:b/>
                <w:bCs/>
              </w:rPr>
            </w:pPr>
            <w:r w:rsidRPr="00237B45">
              <w:rPr>
                <w:b/>
                <w:bCs/>
              </w:rPr>
              <w:t>245 057 337,20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Výdaje na přímé aktivity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1.1.1</w:t>
            </w:r>
          </w:p>
        </w:tc>
        <w:tc>
          <w:tcPr>
            <w:tcW w:w="6487" w:type="dxa"/>
            <w:gridSpan w:val="3"/>
            <w:noWrap/>
            <w:hideMark/>
          </w:tcPr>
          <w:p w:rsidR="00237B45" w:rsidRPr="00237B45" w:rsidRDefault="00237B45" w:rsidP="00237B45">
            <w:r w:rsidRPr="00237B45">
              <w:t>Výdaje na přímé aktivity - investiční (nad 40 tis. Kč HIM a 60 tis. Kč NHIM)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1.1.1.1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Pozemky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1.1.1.2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Budovy a stavby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21 515 713,76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21 515 713,76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1.1.1.3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Stroje a zařízení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61 062 535,99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20 527 307,63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81 589 843,62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1.1.1.4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Hardware a osobní vybavení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177 075,14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177 075,14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1.1.1.5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Nehmotný investiční majetek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Výdaje na přímé aktivity - neinvestiční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Osobní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Platy, odměny z dohod a autorské příspěvky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1.1.2.1.1.1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Platy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33 258 067,00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18 225 113,12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51 483 180,12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1.1.2.1.1.2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DPČ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1.1.2.1.1.3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DPP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1.1.2.1.1.4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Autorské příspěvky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sociální zabezpečení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1.1.2.1.2.1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sociální zabezpečení z platů a DPČ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8 014 928,00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4 540 986,00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12 555 914,00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1.1.2.1.2.2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sociální zabezpečení z DPP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zdravotní zabezpečení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1.1.2.1.3.1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zdravotní zabezpečení z platů a DPČ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2 556 574,00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1 637 712,00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4 194 286,00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1.1.2.1.3.2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zdravotní zabezpečení z DPP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FKSP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667 343,00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364 080,00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1 031 423,00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1.1.2.1.5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Jiné povinné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1.1.2.1.5.1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Pojištění odpovědnosti zaměstnavatele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1.1.2.1.5.2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Nemocenská hrazená zaměstnancům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1.1.2.1.5.3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Ostatní jiné povinné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Cestovní náhrady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1.1.2.2.1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Tuzemské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1.1.2.2.2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Zahraniční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5 146 397,95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1 031 813,95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6 178 211,90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1.1.2.2.3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Per diem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336 103,25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12 312,07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348 415,32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Hmotný majetek a materiál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1.1.2.3.1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HW a osobní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132 509,97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161 386,00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293 895,97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1.1.2.3.2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Stroje a zařízení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477 330,19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838 899,28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1 316 229,47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1.1.2.3.3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Materiál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5 880 270,88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4 040 394,20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9 920 665,08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Nehmotný majetek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1.1.2.5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Odpisy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1.1.2.6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Nákup služeb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1.1.2.6.1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Outsorcované služby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1 237 408,51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2 890 251,19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4 127 659,70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1.1.2.6.2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Nájem a leasing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1.1.2.6.3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Správní poplatky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78 803,68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78 803,68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1.1.2.7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Přímá podpora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Nepřímé náklady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22 082 759,35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8 527 303,04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30 610 062,39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Úspory projektu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1.3.1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Úspory nad 10%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1.3.2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Úspory k rozdělení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Administrativní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Osobní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Platy, odměny z dohod a autorské příspěvky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1.4.1.1.1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Platy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1.4.1.1.2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DPČ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1.4.1.1.3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DPP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1.4.1.1.4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Autorské příspěvky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sociální zabezpečení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1.4.1.2.1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sociální zabezpečení z platů a DPČ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1.4.1.2.2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sociální zabezpečení z DPP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zdravotní zabezpečení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1.4.1.3.1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zdravotní zabezpečení z platů a DPČ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1.4.1.3.2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Pojistné na zdravotní zabezpečení z DPP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FKSP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1.4.1.5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Jiné povinné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1.4.1.5.1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Pojištění odpovědnosti zaměstnavatele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1.4.1.5.2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Nemocenská hrazená zaměstnancům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1.4.1.5.3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Ostatní jiné povinné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Cestovní náhrady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1.4.2.1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Tuzemské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14 199,61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14 199,61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Hmotný majetek a materiál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1.4.3.1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HW a osobní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1.4.3.2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Stroje a zařízení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1.4.3.3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Materiál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4 984,00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4 984,00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Nehmotný majetek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1.4.5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Odpisy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Místní kancelář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Telefony, poštovné, internet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Energie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1.4.6.2.1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Energie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1.4.6.2.2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Energie laboratoře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Nájem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1.4.6.4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Ostatní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1.4.6.4.1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Ostatní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1.4.6.4.2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IV kap. 1.1_úplné vykazování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6 184 286,31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4 459 692,37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10 643 978,68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1.4.6.4.3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NIV kap. 1.1_úplné vykazování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5 100 194,61</w:t>
            </w: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3 858 807,15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8 959 001,76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1.4.7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Nákup služeb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1.4.7.1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Outsourcované služby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13 794,00</w:t>
            </w: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13 794,00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1.4.7.2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Nájem a leasing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1.4.7.3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Správní a jiné poplatky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  <w:tr w:rsidR="00237B45" w:rsidRPr="00237B45" w:rsidTr="00237B45">
        <w:trPr>
          <w:trHeight w:val="290"/>
        </w:trPr>
        <w:tc>
          <w:tcPr>
            <w:tcW w:w="1161" w:type="dxa"/>
            <w:noWrap/>
            <w:hideMark/>
          </w:tcPr>
          <w:p w:rsidR="00237B45" w:rsidRPr="00237B45" w:rsidRDefault="00237B45">
            <w:r w:rsidRPr="00237B45">
              <w:t>2</w:t>
            </w:r>
          </w:p>
        </w:tc>
        <w:tc>
          <w:tcPr>
            <w:tcW w:w="2932" w:type="dxa"/>
            <w:noWrap/>
            <w:hideMark/>
          </w:tcPr>
          <w:p w:rsidR="00237B45" w:rsidRPr="00237B45" w:rsidRDefault="00237B45">
            <w:r w:rsidRPr="00237B45">
              <w:t>Celkové nezpůsobilé výdaje</w:t>
            </w:r>
          </w:p>
        </w:tc>
        <w:tc>
          <w:tcPr>
            <w:tcW w:w="1723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32" w:type="dxa"/>
            <w:noWrap/>
            <w:hideMark/>
          </w:tcPr>
          <w:p w:rsidR="00237B45" w:rsidRPr="00237B45" w:rsidRDefault="00237B45" w:rsidP="00237B45">
            <w:pPr>
              <w:jc w:val="right"/>
            </w:pPr>
          </w:p>
        </w:tc>
        <w:tc>
          <w:tcPr>
            <w:tcW w:w="1845" w:type="dxa"/>
            <w:noWrap/>
            <w:hideMark/>
          </w:tcPr>
          <w:p w:rsidR="00237B45" w:rsidRPr="00237B45" w:rsidRDefault="00237B45" w:rsidP="00237B45">
            <w:pPr>
              <w:jc w:val="right"/>
            </w:pPr>
            <w:r w:rsidRPr="00237B45">
              <w:t>0,00</w:t>
            </w:r>
          </w:p>
        </w:tc>
      </w:tr>
    </w:tbl>
    <w:p w:rsidR="00043A03" w:rsidRDefault="00043A03" w:rsidP="00237B45"/>
    <w:p w:rsidR="00043A03" w:rsidRPr="00043A03" w:rsidRDefault="00043A03" w:rsidP="00043A03"/>
    <w:p w:rsidR="00043A03" w:rsidRPr="00043A03" w:rsidRDefault="00043A03" w:rsidP="00043A03"/>
    <w:p w:rsidR="00043A03" w:rsidRPr="00043A03" w:rsidRDefault="00043A03" w:rsidP="00043A03"/>
    <w:p w:rsidR="00043A03" w:rsidRPr="00043A03" w:rsidRDefault="00043A03" w:rsidP="00043A03"/>
    <w:p w:rsidR="00043A03" w:rsidRPr="00043A03" w:rsidRDefault="00043A03" w:rsidP="00043A03"/>
    <w:p w:rsidR="00043A03" w:rsidRDefault="00043A03" w:rsidP="00043A03"/>
    <w:p w:rsidR="00237B45" w:rsidRDefault="00237B45" w:rsidP="00043A03"/>
    <w:p w:rsidR="00043A03" w:rsidRDefault="00043A03" w:rsidP="00043A03"/>
    <w:p w:rsidR="00043A03" w:rsidRDefault="00043A03" w:rsidP="00043A03"/>
    <w:p w:rsidR="00043A03" w:rsidRDefault="00043A03" w:rsidP="00043A03"/>
    <w:p w:rsidR="00043A03" w:rsidRDefault="00043A03" w:rsidP="00043A03"/>
    <w:p w:rsidR="00043A03" w:rsidRDefault="00043A03" w:rsidP="00043A03"/>
    <w:p w:rsidR="00E60719" w:rsidRDefault="00E60719" w:rsidP="00043A03">
      <w:pPr>
        <w:sectPr w:rsidR="00E60719" w:rsidSect="00D05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3A03" w:rsidRDefault="00043A03" w:rsidP="00043A03">
      <w:r>
        <w:t xml:space="preserve">Příloha č. 3: Rozpis indikátorů závazných pro partnera </w:t>
      </w:r>
    </w:p>
    <w:tbl>
      <w:tblPr>
        <w:tblStyle w:val="TableGrid"/>
        <w:tblW w:w="15051" w:type="dxa"/>
        <w:jc w:val="center"/>
        <w:tblInd w:w="0" w:type="dxa"/>
        <w:tblCellMar>
          <w:top w:w="47" w:type="dxa"/>
          <w:left w:w="100" w:type="dxa"/>
          <w:right w:w="43" w:type="dxa"/>
        </w:tblCellMar>
        <w:tblLook w:val="04A0" w:firstRow="1" w:lastRow="0" w:firstColumn="1" w:lastColumn="0" w:noHBand="0" w:noVBand="1"/>
      </w:tblPr>
      <w:tblGrid>
        <w:gridCol w:w="4263"/>
        <w:gridCol w:w="1102"/>
        <w:gridCol w:w="1102"/>
        <w:gridCol w:w="826"/>
        <w:gridCol w:w="827"/>
        <w:gridCol w:w="826"/>
        <w:gridCol w:w="964"/>
        <w:gridCol w:w="965"/>
        <w:gridCol w:w="931"/>
        <w:gridCol w:w="964"/>
        <w:gridCol w:w="965"/>
        <w:gridCol w:w="1316"/>
      </w:tblGrid>
      <w:tr w:rsidR="00043A03" w:rsidTr="00E60719">
        <w:trPr>
          <w:trHeight w:val="551"/>
          <w:jc w:val="center"/>
        </w:trPr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ind w:left="8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Název indikátoru/kód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10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Konec</w:t>
            </w:r>
          </w:p>
          <w:p w:rsidR="00043A03" w:rsidRPr="00E60719" w:rsidRDefault="00043A03" w:rsidP="00E60719">
            <w:pPr>
              <w:ind w:right="104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realizace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2016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2017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1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2019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1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2020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2022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left="20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2023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Jednotlivé roky období udržitelnosti</w:t>
            </w:r>
          </w:p>
        </w:tc>
      </w:tr>
      <w:tr w:rsidR="00043A03" w:rsidTr="00E60719">
        <w:trPr>
          <w:trHeight w:val="328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ind w:left="8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Počet nových výzkumných pracovníků v podporovaných subjektech (CO24), (FTE)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11,8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4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0,19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4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8,44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7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3,17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4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11,8</w:t>
            </w:r>
          </w:p>
        </w:tc>
      </w:tr>
      <w:tr w:rsidR="00043A03" w:rsidTr="00E60719">
        <w:trPr>
          <w:trHeight w:val="267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4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4,83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7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1,17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6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</w:tr>
      <w:tr w:rsidR="00043A03" w:rsidTr="00E60719">
        <w:trPr>
          <w:trHeight w:val="366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tabs>
                <w:tab w:val="center" w:pos="1439"/>
                <w:tab w:val="center" w:pos="2901"/>
                <w:tab w:val="center" w:pos="3997"/>
                <w:tab w:val="center" w:pos="4877"/>
                <w:tab w:val="right" w:pos="5781"/>
              </w:tabs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Počet </w:t>
            </w:r>
            <w:r w:rsidRPr="00E60719">
              <w:rPr>
                <w:sz w:val="16"/>
                <w:szCs w:val="16"/>
              </w:rPr>
              <w:tab/>
              <w:t xml:space="preserve">výzkumných </w:t>
            </w:r>
            <w:r w:rsidRPr="00E60719">
              <w:rPr>
                <w:sz w:val="16"/>
                <w:szCs w:val="16"/>
              </w:rPr>
              <w:tab/>
              <w:t xml:space="preserve">pracovníků, </w:t>
            </w:r>
            <w:r w:rsidRPr="00E60719">
              <w:rPr>
                <w:sz w:val="16"/>
                <w:szCs w:val="16"/>
              </w:rPr>
              <w:tab/>
              <w:t xml:space="preserve">kteří </w:t>
            </w:r>
            <w:r w:rsidRPr="00E60719">
              <w:rPr>
                <w:sz w:val="16"/>
                <w:szCs w:val="16"/>
              </w:rPr>
              <w:tab/>
              <w:t xml:space="preserve">pracují </w:t>
            </w:r>
            <w:r w:rsidRPr="00E60719">
              <w:rPr>
                <w:sz w:val="16"/>
                <w:szCs w:val="16"/>
              </w:rPr>
              <w:tab/>
              <w:t xml:space="preserve">v </w:t>
            </w:r>
          </w:p>
          <w:p w:rsidR="00043A03" w:rsidRPr="00E60719" w:rsidRDefault="00043A03" w:rsidP="00043A03">
            <w:pPr>
              <w:ind w:left="8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modernizovaných výzkumných infrastrukturách (CO25), (FTE)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74,05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4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0,22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4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9,03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7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21,35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33,75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46,15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58,55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70,95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74,05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4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12,4</w:t>
            </w:r>
          </w:p>
        </w:tc>
      </w:tr>
      <w:tr w:rsidR="00043A03" w:rsidTr="00E60719">
        <w:trPr>
          <w:trHeight w:val="323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39,83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4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0,03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4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5,18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11,78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1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18,38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24,98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30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31,58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38,18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8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39,83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6,6</w:t>
            </w:r>
          </w:p>
        </w:tc>
      </w:tr>
      <w:tr w:rsidR="00043A03" w:rsidTr="00E60719">
        <w:trPr>
          <w:trHeight w:val="366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ind w:left="8"/>
              <w:jc w:val="both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Počet nově vybudovaných, rozšířených či modernizovaných výzkumných infrastruktur a center excelence (2 40 00)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6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</w:tr>
      <w:tr w:rsidR="00043A03" w:rsidTr="00E60719">
        <w:trPr>
          <w:trHeight w:val="322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6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</w:tr>
      <w:tr w:rsidR="00043A03" w:rsidTr="00E60719">
        <w:trPr>
          <w:trHeight w:val="365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ind w:left="8"/>
              <w:jc w:val="both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Počet účastí podpořených výzkumných týmů realizovaných v programech mezinárodní spolupráce (2 03 12)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20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65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ind w:left="8"/>
              <w:jc w:val="both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Podíl odborných publikací (vybrané typy dokumentů) ve spoluautorství domácích a zahraničních výzkumníků (2 02 14)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83,87%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50%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6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40%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1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83,33%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1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100%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102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100%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18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69,23%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9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0%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6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100%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2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50%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1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100%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left="2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100%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65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043A03">
            <w:pPr>
              <w:ind w:left="8"/>
              <w:jc w:val="both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Odborné publikace (vybrané typy dokumentů) vytvořené podpořenými subjekty (2 02 11)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31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29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6,5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65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ind w:left="8"/>
              <w:jc w:val="both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Odborné publikace (vybrané typy dokumentů) se zahraničním spoluautorstvím vytvořené podpořenými subjekty (2 02 16)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27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4,5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66"/>
          <w:jc w:val="center"/>
        </w:trPr>
        <w:tc>
          <w:tcPr>
            <w:tcW w:w="4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ind w:left="8"/>
              <w:jc w:val="both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 xml:space="preserve">Mezinárodní patentové přihlášky (PCT) vytvořené podpořenými subjekty (2 20 11)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left="2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CELKEM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  <w:tr w:rsidR="00043A03" w:rsidTr="00E60719">
        <w:trPr>
          <w:trHeight w:val="325"/>
          <w:jc w:val="center"/>
        </w:trPr>
        <w:tc>
          <w:tcPr>
            <w:tcW w:w="42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043A03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6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BTÚ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40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5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43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7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8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9"/>
              <w:jc w:val="center"/>
              <w:rPr>
                <w:b/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A03" w:rsidRPr="00E60719" w:rsidRDefault="00043A03" w:rsidP="00E60719">
            <w:pPr>
              <w:ind w:right="39"/>
              <w:jc w:val="center"/>
              <w:rPr>
                <w:sz w:val="16"/>
                <w:szCs w:val="16"/>
              </w:rPr>
            </w:pPr>
            <w:r w:rsidRPr="00E60719">
              <w:rPr>
                <w:sz w:val="16"/>
                <w:szCs w:val="16"/>
              </w:rPr>
              <w:t>-</w:t>
            </w:r>
          </w:p>
        </w:tc>
      </w:tr>
    </w:tbl>
    <w:p w:rsidR="00043A03" w:rsidRPr="00043A03" w:rsidRDefault="00043A03" w:rsidP="00E60719"/>
    <w:sectPr w:rsidR="00043A03" w:rsidRPr="00043A03" w:rsidSect="00E607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24" w:rsidRDefault="00544D24" w:rsidP="00FE5A27">
      <w:pPr>
        <w:spacing w:after="0" w:line="240" w:lineRule="auto"/>
      </w:pPr>
      <w:r>
        <w:separator/>
      </w:r>
    </w:p>
  </w:endnote>
  <w:endnote w:type="continuationSeparator" w:id="0">
    <w:p w:rsidR="00544D24" w:rsidRDefault="00544D24" w:rsidP="00FE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24" w:rsidRDefault="00544D24" w:rsidP="00FE5A27">
      <w:pPr>
        <w:spacing w:after="0" w:line="240" w:lineRule="auto"/>
      </w:pPr>
      <w:r>
        <w:separator/>
      </w:r>
    </w:p>
  </w:footnote>
  <w:footnote w:type="continuationSeparator" w:id="0">
    <w:p w:rsidR="00544D24" w:rsidRDefault="00544D24" w:rsidP="00FE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03" w:rsidRDefault="00043A03" w:rsidP="00FE5A27">
    <w:pPr>
      <w:pStyle w:val="Zhlav"/>
      <w:jc w:val="center"/>
    </w:pPr>
    <w:r>
      <w:rPr>
        <w:noProof/>
        <w:lang w:val="en-US"/>
      </w:rPr>
      <w:drawing>
        <wp:inline distT="0" distB="0" distL="0" distR="0" wp14:anchorId="027B2C21" wp14:editId="4A5894A7">
          <wp:extent cx="4610100" cy="1028700"/>
          <wp:effectExtent l="0" t="0" r="0" b="0"/>
          <wp:docPr id="1" name="Obrázek 1" descr="D:\_Aktuální PROJEKTY\OP_VVV\Publicita_logolink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Aktuální PROJEKTY\OP_VVV\Publicita_logolink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A03" w:rsidRDefault="00043A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D81"/>
    <w:multiLevelType w:val="hybridMultilevel"/>
    <w:tmpl w:val="9DEE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502"/>
    <w:multiLevelType w:val="hybridMultilevel"/>
    <w:tmpl w:val="62ACD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9A5"/>
    <w:multiLevelType w:val="hybridMultilevel"/>
    <w:tmpl w:val="EEF2804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B552A0D"/>
    <w:multiLevelType w:val="hybridMultilevel"/>
    <w:tmpl w:val="F968B33C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1979D1"/>
    <w:multiLevelType w:val="hybridMultilevel"/>
    <w:tmpl w:val="32788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F6B97"/>
    <w:multiLevelType w:val="hybridMultilevel"/>
    <w:tmpl w:val="9A74F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D141F"/>
    <w:multiLevelType w:val="hybridMultilevel"/>
    <w:tmpl w:val="9D684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60DC2"/>
    <w:multiLevelType w:val="hybridMultilevel"/>
    <w:tmpl w:val="02FE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86271"/>
    <w:multiLevelType w:val="hybridMultilevel"/>
    <w:tmpl w:val="CF0CB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966"/>
    <w:multiLevelType w:val="hybridMultilevel"/>
    <w:tmpl w:val="8D709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DA"/>
    <w:rsid w:val="00001ED6"/>
    <w:rsid w:val="00017BE1"/>
    <w:rsid w:val="000229DF"/>
    <w:rsid w:val="000319CA"/>
    <w:rsid w:val="00032B8D"/>
    <w:rsid w:val="00043A03"/>
    <w:rsid w:val="00073B09"/>
    <w:rsid w:val="000763C8"/>
    <w:rsid w:val="00085173"/>
    <w:rsid w:val="00087F66"/>
    <w:rsid w:val="00094140"/>
    <w:rsid w:val="000B12C3"/>
    <w:rsid w:val="000D24E1"/>
    <w:rsid w:val="000F37C6"/>
    <w:rsid w:val="00101DB5"/>
    <w:rsid w:val="00126744"/>
    <w:rsid w:val="001505DA"/>
    <w:rsid w:val="00150AD9"/>
    <w:rsid w:val="0015403B"/>
    <w:rsid w:val="001604DA"/>
    <w:rsid w:val="001761B7"/>
    <w:rsid w:val="001823F9"/>
    <w:rsid w:val="001979FF"/>
    <w:rsid w:val="001A2AE7"/>
    <w:rsid w:val="001C7D7C"/>
    <w:rsid w:val="001D67E9"/>
    <w:rsid w:val="001E27F9"/>
    <w:rsid w:val="0020533A"/>
    <w:rsid w:val="0021043E"/>
    <w:rsid w:val="0021759C"/>
    <w:rsid w:val="00230DFD"/>
    <w:rsid w:val="00236030"/>
    <w:rsid w:val="0023746C"/>
    <w:rsid w:val="0023773E"/>
    <w:rsid w:val="00237B45"/>
    <w:rsid w:val="002422B2"/>
    <w:rsid w:val="002537D3"/>
    <w:rsid w:val="00254C5B"/>
    <w:rsid w:val="002611CC"/>
    <w:rsid w:val="002760DD"/>
    <w:rsid w:val="00281727"/>
    <w:rsid w:val="00283243"/>
    <w:rsid w:val="002A726D"/>
    <w:rsid w:val="002C24E6"/>
    <w:rsid w:val="002C69C6"/>
    <w:rsid w:val="002E79E6"/>
    <w:rsid w:val="002F2FDE"/>
    <w:rsid w:val="00301F92"/>
    <w:rsid w:val="00303167"/>
    <w:rsid w:val="0031399D"/>
    <w:rsid w:val="00316BE7"/>
    <w:rsid w:val="00331946"/>
    <w:rsid w:val="00332EE1"/>
    <w:rsid w:val="0033780F"/>
    <w:rsid w:val="00344F6E"/>
    <w:rsid w:val="00361BC6"/>
    <w:rsid w:val="00362250"/>
    <w:rsid w:val="00367D23"/>
    <w:rsid w:val="00377CCF"/>
    <w:rsid w:val="003A1677"/>
    <w:rsid w:val="003A6658"/>
    <w:rsid w:val="003C55D4"/>
    <w:rsid w:val="003F170D"/>
    <w:rsid w:val="003F5A1F"/>
    <w:rsid w:val="00411E56"/>
    <w:rsid w:val="0042195A"/>
    <w:rsid w:val="00422BFF"/>
    <w:rsid w:val="00423DF0"/>
    <w:rsid w:val="00424486"/>
    <w:rsid w:val="00425B4B"/>
    <w:rsid w:val="004524A6"/>
    <w:rsid w:val="00465C60"/>
    <w:rsid w:val="00480F1E"/>
    <w:rsid w:val="00482BDF"/>
    <w:rsid w:val="004929AF"/>
    <w:rsid w:val="004B6812"/>
    <w:rsid w:val="004D5C2B"/>
    <w:rsid w:val="004E1582"/>
    <w:rsid w:val="004E1F7A"/>
    <w:rsid w:val="004E5E05"/>
    <w:rsid w:val="004F36A1"/>
    <w:rsid w:val="004F56B2"/>
    <w:rsid w:val="004F6674"/>
    <w:rsid w:val="004F6FA0"/>
    <w:rsid w:val="005003E2"/>
    <w:rsid w:val="00514D39"/>
    <w:rsid w:val="00514D42"/>
    <w:rsid w:val="00517BE1"/>
    <w:rsid w:val="00534F99"/>
    <w:rsid w:val="00544D24"/>
    <w:rsid w:val="00547314"/>
    <w:rsid w:val="00550086"/>
    <w:rsid w:val="0055127E"/>
    <w:rsid w:val="00585F36"/>
    <w:rsid w:val="005A6FC8"/>
    <w:rsid w:val="005C1DB3"/>
    <w:rsid w:val="005D318D"/>
    <w:rsid w:val="006073CD"/>
    <w:rsid w:val="006416F6"/>
    <w:rsid w:val="00661D1D"/>
    <w:rsid w:val="00663CCC"/>
    <w:rsid w:val="00674CB5"/>
    <w:rsid w:val="006D0CA8"/>
    <w:rsid w:val="006D2D25"/>
    <w:rsid w:val="006E7112"/>
    <w:rsid w:val="00713936"/>
    <w:rsid w:val="00721942"/>
    <w:rsid w:val="007228D3"/>
    <w:rsid w:val="00743CD8"/>
    <w:rsid w:val="00744330"/>
    <w:rsid w:val="0075403C"/>
    <w:rsid w:val="00767B5C"/>
    <w:rsid w:val="00780C7D"/>
    <w:rsid w:val="007D7AFE"/>
    <w:rsid w:val="007E5583"/>
    <w:rsid w:val="007F65D9"/>
    <w:rsid w:val="007F7F41"/>
    <w:rsid w:val="008009A4"/>
    <w:rsid w:val="00834363"/>
    <w:rsid w:val="00835707"/>
    <w:rsid w:val="0085070B"/>
    <w:rsid w:val="008516FD"/>
    <w:rsid w:val="008533F6"/>
    <w:rsid w:val="00857A79"/>
    <w:rsid w:val="008841A2"/>
    <w:rsid w:val="0089096F"/>
    <w:rsid w:val="00891EC5"/>
    <w:rsid w:val="008A5E4F"/>
    <w:rsid w:val="008B0B0F"/>
    <w:rsid w:val="008B2E95"/>
    <w:rsid w:val="008C5F25"/>
    <w:rsid w:val="008E54BB"/>
    <w:rsid w:val="00900B39"/>
    <w:rsid w:val="00901072"/>
    <w:rsid w:val="00903099"/>
    <w:rsid w:val="00904F49"/>
    <w:rsid w:val="00906F64"/>
    <w:rsid w:val="0091249B"/>
    <w:rsid w:val="00913F8A"/>
    <w:rsid w:val="0092433A"/>
    <w:rsid w:val="00924B8F"/>
    <w:rsid w:val="009272A2"/>
    <w:rsid w:val="009324DE"/>
    <w:rsid w:val="00932FDE"/>
    <w:rsid w:val="009378A3"/>
    <w:rsid w:val="00942648"/>
    <w:rsid w:val="009A47E9"/>
    <w:rsid w:val="009B2B8F"/>
    <w:rsid w:val="009B5F07"/>
    <w:rsid w:val="009B61BD"/>
    <w:rsid w:val="009E1407"/>
    <w:rsid w:val="009E5E01"/>
    <w:rsid w:val="00A05355"/>
    <w:rsid w:val="00A102F6"/>
    <w:rsid w:val="00A32DA5"/>
    <w:rsid w:val="00A42A99"/>
    <w:rsid w:val="00A42D8C"/>
    <w:rsid w:val="00A458CA"/>
    <w:rsid w:val="00A5761F"/>
    <w:rsid w:val="00A613C8"/>
    <w:rsid w:val="00A91FB0"/>
    <w:rsid w:val="00A921CC"/>
    <w:rsid w:val="00AB2C3A"/>
    <w:rsid w:val="00AB4531"/>
    <w:rsid w:val="00AF1BF2"/>
    <w:rsid w:val="00B07B2E"/>
    <w:rsid w:val="00B15D13"/>
    <w:rsid w:val="00B17E2D"/>
    <w:rsid w:val="00B3635E"/>
    <w:rsid w:val="00B431B6"/>
    <w:rsid w:val="00B46DE2"/>
    <w:rsid w:val="00B561D9"/>
    <w:rsid w:val="00B641E8"/>
    <w:rsid w:val="00B77A77"/>
    <w:rsid w:val="00B91E9B"/>
    <w:rsid w:val="00BB1543"/>
    <w:rsid w:val="00BC0580"/>
    <w:rsid w:val="00BD0530"/>
    <w:rsid w:val="00BD0FD4"/>
    <w:rsid w:val="00BD4445"/>
    <w:rsid w:val="00BD5DDA"/>
    <w:rsid w:val="00BE5734"/>
    <w:rsid w:val="00BE64D7"/>
    <w:rsid w:val="00C034E1"/>
    <w:rsid w:val="00C13562"/>
    <w:rsid w:val="00C13FFE"/>
    <w:rsid w:val="00C1774D"/>
    <w:rsid w:val="00C24A4D"/>
    <w:rsid w:val="00C304A6"/>
    <w:rsid w:val="00C33AFC"/>
    <w:rsid w:val="00C47ED7"/>
    <w:rsid w:val="00C5538D"/>
    <w:rsid w:val="00C66542"/>
    <w:rsid w:val="00C718DE"/>
    <w:rsid w:val="00C7396D"/>
    <w:rsid w:val="00C95B49"/>
    <w:rsid w:val="00CA3A04"/>
    <w:rsid w:val="00CB6622"/>
    <w:rsid w:val="00CC70AE"/>
    <w:rsid w:val="00CD2AF5"/>
    <w:rsid w:val="00CE5B6D"/>
    <w:rsid w:val="00D01788"/>
    <w:rsid w:val="00D05DC3"/>
    <w:rsid w:val="00D1311F"/>
    <w:rsid w:val="00D277CE"/>
    <w:rsid w:val="00D3352F"/>
    <w:rsid w:val="00D3624B"/>
    <w:rsid w:val="00D36CE6"/>
    <w:rsid w:val="00D413A9"/>
    <w:rsid w:val="00D42794"/>
    <w:rsid w:val="00D45599"/>
    <w:rsid w:val="00D4623A"/>
    <w:rsid w:val="00D67A1C"/>
    <w:rsid w:val="00D862FE"/>
    <w:rsid w:val="00DB6906"/>
    <w:rsid w:val="00DD18EC"/>
    <w:rsid w:val="00DD361D"/>
    <w:rsid w:val="00DD44F3"/>
    <w:rsid w:val="00DD4E2F"/>
    <w:rsid w:val="00DE1A21"/>
    <w:rsid w:val="00DF13EA"/>
    <w:rsid w:val="00E00195"/>
    <w:rsid w:val="00E16CDE"/>
    <w:rsid w:val="00E2164A"/>
    <w:rsid w:val="00E364A7"/>
    <w:rsid w:val="00E47651"/>
    <w:rsid w:val="00E54C73"/>
    <w:rsid w:val="00E60719"/>
    <w:rsid w:val="00E63F74"/>
    <w:rsid w:val="00E73B7D"/>
    <w:rsid w:val="00E7728A"/>
    <w:rsid w:val="00E93669"/>
    <w:rsid w:val="00EA6BD9"/>
    <w:rsid w:val="00EB6E4B"/>
    <w:rsid w:val="00ED0A42"/>
    <w:rsid w:val="00ED404C"/>
    <w:rsid w:val="00ED5341"/>
    <w:rsid w:val="00EE050F"/>
    <w:rsid w:val="00EE140E"/>
    <w:rsid w:val="00EF026E"/>
    <w:rsid w:val="00EF5600"/>
    <w:rsid w:val="00F13D98"/>
    <w:rsid w:val="00F20B87"/>
    <w:rsid w:val="00F251DE"/>
    <w:rsid w:val="00F424F7"/>
    <w:rsid w:val="00F43636"/>
    <w:rsid w:val="00F44630"/>
    <w:rsid w:val="00F47446"/>
    <w:rsid w:val="00F612AB"/>
    <w:rsid w:val="00F6623D"/>
    <w:rsid w:val="00F730A5"/>
    <w:rsid w:val="00F75FD6"/>
    <w:rsid w:val="00F77ADA"/>
    <w:rsid w:val="00F8071C"/>
    <w:rsid w:val="00F85E31"/>
    <w:rsid w:val="00F86608"/>
    <w:rsid w:val="00FB0146"/>
    <w:rsid w:val="00FB3CB5"/>
    <w:rsid w:val="00FD0904"/>
    <w:rsid w:val="00FD103C"/>
    <w:rsid w:val="00FD2024"/>
    <w:rsid w:val="00FE2DD1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8A02"/>
  <w15:docId w15:val="{D20CF437-ABE6-4469-BD2E-218BA135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33A"/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85070B"/>
    <w:pPr>
      <w:keepNext/>
      <w:numPr>
        <w:numId w:val="13"/>
      </w:numPr>
      <w:tabs>
        <w:tab w:val="left" w:pos="22"/>
      </w:tabs>
      <w:spacing w:before="240" w:after="240" w:line="276" w:lineRule="auto"/>
      <w:jc w:val="both"/>
      <w:outlineLvl w:val="0"/>
    </w:pPr>
    <w:rPr>
      <w:rFonts w:ascii="Times New Roman" w:eastAsia="Batang" w:hAnsi="Times New Roman" w:cs="Times New Roman"/>
      <w:b/>
      <w:caps/>
      <w:kern w:val="28"/>
      <w:lang w:val="en-GB" w:eastAsia="en-GB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85070B"/>
    <w:pPr>
      <w:numPr>
        <w:ilvl w:val="1"/>
        <w:numId w:val="13"/>
      </w:numPr>
      <w:tabs>
        <w:tab w:val="left" w:pos="22"/>
      </w:tabs>
      <w:spacing w:after="200" w:line="276" w:lineRule="auto"/>
      <w:jc w:val="both"/>
      <w:outlineLvl w:val="1"/>
    </w:pPr>
    <w:rPr>
      <w:rFonts w:ascii="Times New Roman" w:eastAsia="Batang" w:hAnsi="Times New Roman" w:cs="Times New Roman"/>
      <w:kern w:val="24"/>
      <w:lang w:val="en-GB" w:eastAsia="en-GB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85070B"/>
    <w:pPr>
      <w:numPr>
        <w:ilvl w:val="2"/>
        <w:numId w:val="13"/>
      </w:numPr>
      <w:tabs>
        <w:tab w:val="left" w:pos="50"/>
      </w:tabs>
      <w:spacing w:after="200" w:line="288" w:lineRule="auto"/>
      <w:jc w:val="both"/>
      <w:outlineLvl w:val="2"/>
    </w:pPr>
    <w:rPr>
      <w:rFonts w:ascii="Times New Roman" w:eastAsia="Batang" w:hAnsi="Times New Roman" w:cs="Times New Roman"/>
      <w:lang w:val="en-GB" w:eastAsia="en-GB"/>
    </w:rPr>
  </w:style>
  <w:style w:type="paragraph" w:styleId="Nadpis5">
    <w:name w:val="heading 5"/>
    <w:aliases w:val="5_Nadpis 5"/>
    <w:basedOn w:val="Normln"/>
    <w:next w:val="Normln"/>
    <w:link w:val="Nadpis5Char"/>
    <w:qFormat/>
    <w:rsid w:val="0085070B"/>
    <w:pPr>
      <w:numPr>
        <w:ilvl w:val="4"/>
        <w:numId w:val="13"/>
      </w:numPr>
      <w:tabs>
        <w:tab w:val="left" w:pos="86"/>
      </w:tabs>
      <w:spacing w:after="200" w:line="288" w:lineRule="auto"/>
      <w:jc w:val="both"/>
      <w:outlineLvl w:val="4"/>
    </w:pPr>
    <w:rPr>
      <w:rFonts w:ascii="Times New Roman" w:eastAsia="Batang" w:hAnsi="Times New Roman" w:cs="Times New Roman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qFormat/>
    <w:rsid w:val="0085070B"/>
    <w:pPr>
      <w:numPr>
        <w:ilvl w:val="5"/>
        <w:numId w:val="13"/>
      </w:numPr>
      <w:tabs>
        <w:tab w:val="left" w:pos="104"/>
      </w:tabs>
      <w:spacing w:after="200" w:line="288" w:lineRule="auto"/>
      <w:jc w:val="both"/>
      <w:outlineLvl w:val="5"/>
    </w:pPr>
    <w:rPr>
      <w:rFonts w:ascii="Times New Roman" w:eastAsia="Batang" w:hAnsi="Times New Roman" w:cs="Times New Roman"/>
      <w:lang w:val="en-GB" w:eastAsia="en-GB"/>
    </w:rPr>
  </w:style>
  <w:style w:type="paragraph" w:styleId="Nadpis7">
    <w:name w:val="heading 7"/>
    <w:basedOn w:val="Normln"/>
    <w:next w:val="Normln"/>
    <w:link w:val="Nadpis7Char"/>
    <w:qFormat/>
    <w:rsid w:val="0085070B"/>
    <w:pPr>
      <w:numPr>
        <w:ilvl w:val="6"/>
        <w:numId w:val="13"/>
      </w:numPr>
      <w:spacing w:after="200" w:line="288" w:lineRule="auto"/>
      <w:jc w:val="both"/>
      <w:outlineLvl w:val="6"/>
    </w:pPr>
    <w:rPr>
      <w:rFonts w:ascii="Times New Roman" w:eastAsia="Batang" w:hAnsi="Times New Roman" w:cs="Times New Roman"/>
      <w:lang w:val="en-GB" w:eastAsia="en-GB"/>
    </w:rPr>
  </w:style>
  <w:style w:type="paragraph" w:styleId="Nadpis8">
    <w:name w:val="heading 8"/>
    <w:basedOn w:val="Normln"/>
    <w:next w:val="Normln"/>
    <w:link w:val="Nadpis8Char"/>
    <w:qFormat/>
    <w:rsid w:val="0085070B"/>
    <w:pPr>
      <w:numPr>
        <w:ilvl w:val="7"/>
        <w:numId w:val="13"/>
      </w:numPr>
      <w:spacing w:after="200" w:line="288" w:lineRule="auto"/>
      <w:jc w:val="both"/>
      <w:outlineLvl w:val="7"/>
    </w:pPr>
    <w:rPr>
      <w:rFonts w:ascii="Times New Roman" w:eastAsia="Batang" w:hAnsi="Times New Roman" w:cs="Times New Roman"/>
      <w:lang w:val="en-GB" w:eastAsia="en-GB"/>
    </w:rPr>
  </w:style>
  <w:style w:type="paragraph" w:styleId="Nadpis9">
    <w:name w:val="heading 9"/>
    <w:basedOn w:val="Normln"/>
    <w:next w:val="Normln"/>
    <w:link w:val="Nadpis9Char"/>
    <w:qFormat/>
    <w:rsid w:val="0085070B"/>
    <w:pPr>
      <w:pageBreakBefore/>
      <w:numPr>
        <w:ilvl w:val="8"/>
        <w:numId w:val="13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A27"/>
  </w:style>
  <w:style w:type="paragraph" w:styleId="Zpat">
    <w:name w:val="footer"/>
    <w:basedOn w:val="Normln"/>
    <w:link w:val="ZpatChar"/>
    <w:uiPriority w:val="99"/>
    <w:unhideWhenUsed/>
    <w:rsid w:val="00FE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A27"/>
  </w:style>
  <w:style w:type="paragraph" w:styleId="Bezmezer">
    <w:name w:val="No Spacing"/>
    <w:uiPriority w:val="1"/>
    <w:qFormat/>
    <w:rsid w:val="00FE5A2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75F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F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D6"/>
    <w:rPr>
      <w:rFonts w:ascii="Segoe UI" w:hAnsi="Segoe UI" w:cs="Segoe UI"/>
      <w:sz w:val="18"/>
      <w:szCs w:val="18"/>
    </w:rPr>
  </w:style>
  <w:style w:type="paragraph" w:customStyle="1" w:styleId="NORMcislo">
    <w:name w:val="NORM_cislo"/>
    <w:basedOn w:val="Odstavecseseznamem"/>
    <w:link w:val="NORMcisloChar"/>
    <w:qFormat/>
    <w:rsid w:val="006416F6"/>
    <w:pPr>
      <w:numPr>
        <w:numId w:val="7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basedOn w:val="Standardnpsmoodstavce"/>
    <w:link w:val="NORMcislo"/>
    <w:rsid w:val="006416F6"/>
    <w:rPr>
      <w:rFonts w:ascii="Arial" w:hAnsi="Arial" w:cs="Arial"/>
      <w:iCs/>
    </w:rPr>
  </w:style>
  <w:style w:type="paragraph" w:styleId="Odstavecseseznamem">
    <w:name w:val="List Paragraph"/>
    <w:basedOn w:val="Normln"/>
    <w:uiPriority w:val="34"/>
    <w:qFormat/>
    <w:rsid w:val="006416F6"/>
    <w:pPr>
      <w:ind w:left="720"/>
      <w:contextualSpacing/>
    </w:p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85070B"/>
    <w:rPr>
      <w:rFonts w:ascii="Times New Roman" w:eastAsia="Batang" w:hAnsi="Times New Roman" w:cs="Times New Roman"/>
      <w:b/>
      <w:caps/>
      <w:kern w:val="28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85070B"/>
    <w:rPr>
      <w:rFonts w:ascii="Times New Roman" w:eastAsia="Batang" w:hAnsi="Times New Roman" w:cs="Times New Roman"/>
      <w:kern w:val="24"/>
      <w:lang w:val="en-GB" w:eastAsia="en-GB"/>
    </w:rPr>
  </w:style>
  <w:style w:type="character" w:customStyle="1" w:styleId="Nadpis3Char">
    <w:name w:val="Nadpis 3 Char"/>
    <w:aliases w:val="3_Nadpis 3 Char"/>
    <w:basedOn w:val="Standardnpsmoodstavce"/>
    <w:link w:val="Nadpis3"/>
    <w:rsid w:val="0085070B"/>
    <w:rPr>
      <w:rFonts w:ascii="Times New Roman" w:eastAsia="Batang" w:hAnsi="Times New Roman" w:cs="Times New Roman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85070B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rsid w:val="0085070B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rsid w:val="0085070B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rsid w:val="0085070B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rsid w:val="0085070B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07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070B"/>
  </w:style>
  <w:style w:type="paragraph" w:styleId="Zkladntext2">
    <w:name w:val="Body Text 2"/>
    <w:basedOn w:val="Normln"/>
    <w:link w:val="Zkladntext2Char"/>
    <w:uiPriority w:val="99"/>
    <w:semiHidden/>
    <w:unhideWhenUsed/>
    <w:rsid w:val="008507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070B"/>
  </w:style>
  <w:style w:type="table" w:styleId="Mkatabulky">
    <w:name w:val="Table Grid"/>
    <w:basedOn w:val="Normlntabulka"/>
    <w:uiPriority w:val="39"/>
    <w:rsid w:val="0023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43A0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AE20-4E9A-44AE-BCA7-E3A98890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Vokatá Barbora</cp:lastModifiedBy>
  <cp:revision>2</cp:revision>
  <dcterms:created xsi:type="dcterms:W3CDTF">2021-06-24T22:51:00Z</dcterms:created>
  <dcterms:modified xsi:type="dcterms:W3CDTF">2021-06-24T22:51:00Z</dcterms:modified>
</cp:coreProperties>
</file>