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4B455232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r w:rsidR="007D07E1">
        <w:rPr>
          <w:rFonts w:ascii="Arial" w:hAnsi="Arial"/>
          <w:sz w:val="20"/>
        </w:rPr>
        <w:t>SPO/33/2021</w:t>
      </w:r>
    </w:p>
    <w:p w14:paraId="447613A0" w14:textId="7BE6F37F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7D07E1">
        <w:rPr>
          <w:rFonts w:ascii="Arial" w:hAnsi="Arial"/>
          <w:sz w:val="20"/>
        </w:rPr>
        <w:t xml:space="preserve"> 4152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2E0F2190" w:rsidR="00796A29" w:rsidRPr="00A3174B" w:rsidRDefault="00F9096C" w:rsidP="001759DF">
      <w:pPr>
        <w:pStyle w:val="Textkomente"/>
        <w:rPr>
          <w:rFonts w:ascii="Arial" w:hAnsi="Arial" w:cs="Arial"/>
          <w:b/>
          <w:bCs/>
        </w:rPr>
      </w:pPr>
      <w:r w:rsidRPr="00A3174B">
        <w:rPr>
          <w:rFonts w:ascii="Arial" w:hAnsi="Arial" w:cs="Arial"/>
          <w:b/>
          <w:bCs/>
        </w:rPr>
        <w:t>1.</w:t>
      </w:r>
    </w:p>
    <w:p w14:paraId="071B095C" w14:textId="15016667" w:rsidR="00F9096C" w:rsidRPr="00A3174B" w:rsidRDefault="00F9096C" w:rsidP="00F9096C">
      <w:pPr>
        <w:jc w:val="both"/>
        <w:rPr>
          <w:rFonts w:ascii="Arial" w:hAnsi="Arial" w:cs="Arial"/>
          <w:b/>
          <w:bCs/>
        </w:rPr>
      </w:pPr>
      <w:r w:rsidRPr="00A3174B">
        <w:rPr>
          <w:rFonts w:ascii="Arial" w:hAnsi="Arial" w:cs="Arial"/>
          <w:b/>
          <w:bCs/>
        </w:rPr>
        <w:t xml:space="preserve">RD </w:t>
      </w:r>
      <w:proofErr w:type="spellStart"/>
      <w:r w:rsidRPr="00A3174B">
        <w:rPr>
          <w:rFonts w:ascii="Arial" w:hAnsi="Arial" w:cs="Arial"/>
          <w:b/>
          <w:bCs/>
        </w:rPr>
        <w:t>Řepora</w:t>
      </w:r>
      <w:proofErr w:type="spellEnd"/>
      <w:r w:rsidRPr="00A3174B">
        <w:rPr>
          <w:rFonts w:ascii="Arial" w:hAnsi="Arial" w:cs="Arial"/>
          <w:b/>
          <w:bCs/>
        </w:rPr>
        <w:t xml:space="preserve"> V s.r.o.</w:t>
      </w:r>
    </w:p>
    <w:p w14:paraId="3342D1EF" w14:textId="77777777" w:rsidR="00F9096C" w:rsidRPr="00A3174B" w:rsidRDefault="00F9096C" w:rsidP="00A3174B">
      <w:pPr>
        <w:pStyle w:val="Zkladntext"/>
        <w:spacing w:before="0"/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 xml:space="preserve">se sídlem: Nad </w:t>
      </w:r>
      <w:proofErr w:type="spellStart"/>
      <w:r w:rsidRPr="00A3174B">
        <w:rPr>
          <w:rFonts w:ascii="Arial" w:hAnsi="Arial" w:cs="Arial"/>
          <w:sz w:val="20"/>
        </w:rPr>
        <w:t>Ryšánkou</w:t>
      </w:r>
      <w:proofErr w:type="spellEnd"/>
      <w:r w:rsidRPr="00A3174B">
        <w:rPr>
          <w:rFonts w:ascii="Arial" w:hAnsi="Arial" w:cs="Arial"/>
          <w:sz w:val="20"/>
        </w:rPr>
        <w:t xml:space="preserve"> 2103/</w:t>
      </w:r>
      <w:proofErr w:type="gramStart"/>
      <w:r w:rsidRPr="00A3174B">
        <w:rPr>
          <w:rFonts w:ascii="Arial" w:hAnsi="Arial" w:cs="Arial"/>
          <w:sz w:val="20"/>
        </w:rPr>
        <w:t>7a</w:t>
      </w:r>
      <w:proofErr w:type="gramEnd"/>
      <w:r w:rsidRPr="00A3174B">
        <w:rPr>
          <w:rFonts w:ascii="Arial" w:hAnsi="Arial" w:cs="Arial"/>
          <w:sz w:val="20"/>
        </w:rPr>
        <w:t>, 147 00 Praha 4 - Krč</w:t>
      </w:r>
    </w:p>
    <w:p w14:paraId="257C8A8E" w14:textId="71C236A9" w:rsidR="00F9096C" w:rsidRPr="00F9096C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F9096C">
        <w:rPr>
          <w:rFonts w:ascii="Arial" w:hAnsi="Arial" w:cs="Arial"/>
          <w:sz w:val="20"/>
        </w:rPr>
        <w:t>IČ: 084 16 745</w:t>
      </w:r>
    </w:p>
    <w:p w14:paraId="35DC1D10" w14:textId="42B7E8E8" w:rsidR="00F9096C" w:rsidRPr="00F9096C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F9096C">
        <w:rPr>
          <w:rFonts w:ascii="Arial" w:hAnsi="Arial" w:cs="Arial"/>
          <w:sz w:val="20"/>
        </w:rPr>
        <w:t>DIČ CZ08416745</w:t>
      </w:r>
    </w:p>
    <w:p w14:paraId="5853C07C" w14:textId="246EDB55" w:rsidR="00F9096C" w:rsidRPr="00F9096C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color w:val="FF0000"/>
          <w:sz w:val="20"/>
        </w:rPr>
      </w:pPr>
      <w:r w:rsidRPr="00F9096C">
        <w:rPr>
          <w:rFonts w:ascii="Arial" w:hAnsi="Arial" w:cs="Arial"/>
          <w:sz w:val="20"/>
        </w:rPr>
        <w:t xml:space="preserve">zastoupena: jednatelem Liborem </w:t>
      </w:r>
      <w:proofErr w:type="spellStart"/>
      <w:r w:rsidRPr="00F9096C">
        <w:rPr>
          <w:rFonts w:ascii="Arial" w:hAnsi="Arial" w:cs="Arial"/>
          <w:sz w:val="20"/>
        </w:rPr>
        <w:t>Klinským</w:t>
      </w:r>
      <w:proofErr w:type="spellEnd"/>
      <w:r w:rsidRPr="00F9096C">
        <w:rPr>
          <w:rFonts w:ascii="Arial" w:hAnsi="Arial" w:cs="Arial"/>
          <w:color w:val="FF0000"/>
          <w:sz w:val="20"/>
        </w:rPr>
        <w:t xml:space="preserve">        </w:t>
      </w:r>
    </w:p>
    <w:p w14:paraId="17922141" w14:textId="77777777" w:rsidR="00F9096C" w:rsidRPr="00A3174B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F9096C">
        <w:rPr>
          <w:rFonts w:ascii="Arial" w:hAnsi="Arial" w:cs="Arial"/>
          <w:sz w:val="20"/>
        </w:rPr>
        <w:t xml:space="preserve">zapsána v obchodním </w:t>
      </w:r>
      <w:proofErr w:type="gramStart"/>
      <w:r w:rsidRPr="00F9096C">
        <w:rPr>
          <w:rFonts w:ascii="Arial" w:hAnsi="Arial" w:cs="Arial"/>
          <w:sz w:val="20"/>
        </w:rPr>
        <w:t>rejstříku</w:t>
      </w:r>
      <w:r w:rsidRPr="00A3174B">
        <w:rPr>
          <w:rFonts w:ascii="Arial" w:hAnsi="Arial" w:cs="Arial"/>
          <w:sz w:val="20"/>
        </w:rPr>
        <w:t xml:space="preserve">  vedeném</w:t>
      </w:r>
      <w:proofErr w:type="gramEnd"/>
      <w:r w:rsidRPr="00A3174B">
        <w:rPr>
          <w:rFonts w:ascii="Arial" w:hAnsi="Arial" w:cs="Arial"/>
          <w:sz w:val="20"/>
        </w:rPr>
        <w:t xml:space="preserve"> Městským soudem v Praze </w:t>
      </w:r>
    </w:p>
    <w:p w14:paraId="200C2E70" w14:textId="7E5B81DE" w:rsidR="00F9096C" w:rsidRPr="00A3174B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 xml:space="preserve">pod </w:t>
      </w:r>
      <w:proofErr w:type="spellStart"/>
      <w:r w:rsidRPr="00A3174B">
        <w:rPr>
          <w:rFonts w:ascii="Arial" w:hAnsi="Arial" w:cs="Arial"/>
          <w:sz w:val="20"/>
        </w:rPr>
        <w:t>sp</w:t>
      </w:r>
      <w:proofErr w:type="spellEnd"/>
      <w:r w:rsidRPr="00A3174B">
        <w:rPr>
          <w:rFonts w:ascii="Arial" w:hAnsi="Arial" w:cs="Arial"/>
          <w:sz w:val="20"/>
        </w:rPr>
        <w:t>. značkou: C 318641</w:t>
      </w:r>
    </w:p>
    <w:p w14:paraId="0E5E4CEA" w14:textId="661846CC" w:rsidR="00F9096C" w:rsidRPr="00A3174B" w:rsidRDefault="00F9096C" w:rsidP="00F9096C">
      <w:pPr>
        <w:pStyle w:val="Zkladntext"/>
        <w:tabs>
          <w:tab w:val="left" w:pos="360"/>
          <w:tab w:val="left" w:pos="4536"/>
        </w:tabs>
        <w:spacing w:before="0"/>
        <w:ind w:left="284" w:hanging="284"/>
        <w:rPr>
          <w:rFonts w:ascii="Arial" w:hAnsi="Arial" w:cs="Arial"/>
          <w:color w:val="FF0000"/>
          <w:sz w:val="20"/>
        </w:rPr>
      </w:pPr>
      <w:r w:rsidRPr="00A3174B">
        <w:rPr>
          <w:rFonts w:ascii="Arial" w:hAnsi="Arial" w:cs="Arial"/>
          <w:sz w:val="20"/>
        </w:rPr>
        <w:t xml:space="preserve">bankovní </w:t>
      </w:r>
      <w:proofErr w:type="gramStart"/>
      <w:r w:rsidRPr="00A3174B">
        <w:rPr>
          <w:rFonts w:ascii="Arial" w:hAnsi="Arial" w:cs="Arial"/>
          <w:sz w:val="20"/>
        </w:rPr>
        <w:t>spojení:  ČSOB</w:t>
      </w:r>
      <w:proofErr w:type="gramEnd"/>
      <w:r w:rsidRPr="00A3174B">
        <w:rPr>
          <w:rFonts w:ascii="Arial" w:hAnsi="Arial" w:cs="Arial"/>
          <w:sz w:val="20"/>
        </w:rPr>
        <w:tab/>
        <w:t xml:space="preserve">číslo účtu: </w:t>
      </w:r>
    </w:p>
    <w:p w14:paraId="52B978C2" w14:textId="4C60DD18" w:rsidR="00F9096C" w:rsidRPr="00A3174B" w:rsidRDefault="00F9096C" w:rsidP="00F9096C">
      <w:pPr>
        <w:pStyle w:val="Zkladntext"/>
        <w:tabs>
          <w:tab w:val="left" w:pos="360"/>
        </w:tabs>
        <w:spacing w:before="0"/>
        <w:ind w:left="284" w:hanging="284"/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 xml:space="preserve">kontaktní </w:t>
      </w:r>
      <w:proofErr w:type="gramStart"/>
      <w:r w:rsidRPr="00A3174B">
        <w:rPr>
          <w:rFonts w:ascii="Arial" w:hAnsi="Arial" w:cs="Arial"/>
          <w:sz w:val="20"/>
        </w:rPr>
        <w:t>osoba:  Libor</w:t>
      </w:r>
      <w:proofErr w:type="gramEnd"/>
      <w:r w:rsidRPr="00A3174B">
        <w:rPr>
          <w:rFonts w:ascii="Arial" w:hAnsi="Arial" w:cs="Arial"/>
          <w:sz w:val="20"/>
        </w:rPr>
        <w:t xml:space="preserve"> </w:t>
      </w:r>
      <w:proofErr w:type="spellStart"/>
      <w:r w:rsidRPr="00A3174B">
        <w:rPr>
          <w:rFonts w:ascii="Arial" w:hAnsi="Arial" w:cs="Arial"/>
          <w:sz w:val="20"/>
        </w:rPr>
        <w:t>Klinský</w:t>
      </w:r>
      <w:proofErr w:type="spellEnd"/>
      <w:r w:rsidRPr="00A3174B">
        <w:rPr>
          <w:rFonts w:ascii="Arial" w:hAnsi="Arial" w:cs="Arial"/>
          <w:sz w:val="20"/>
        </w:rPr>
        <w:t xml:space="preserve">       email: </w:t>
      </w:r>
      <w:r w:rsidRPr="00F9096C">
        <w:rPr>
          <w:rFonts w:ascii="Arial" w:hAnsi="Arial" w:cs="Arial"/>
          <w:b/>
          <w:bCs/>
          <w:sz w:val="20"/>
        </w:rPr>
        <w:t xml:space="preserve"> </w:t>
      </w:r>
    </w:p>
    <w:p w14:paraId="15876ADB" w14:textId="4C04A3C8" w:rsidR="00F9096C" w:rsidRPr="00A3174B" w:rsidRDefault="00F9096C" w:rsidP="001759DF">
      <w:pPr>
        <w:pStyle w:val="Textkomente"/>
        <w:rPr>
          <w:rFonts w:ascii="Arial" w:hAnsi="Arial" w:cs="Arial"/>
        </w:rPr>
      </w:pPr>
    </w:p>
    <w:p w14:paraId="690C1D20" w14:textId="201C23F2" w:rsidR="00F9096C" w:rsidRPr="00A3174B" w:rsidRDefault="00F9096C" w:rsidP="001759DF">
      <w:pPr>
        <w:pStyle w:val="Textkomente"/>
        <w:rPr>
          <w:rFonts w:ascii="Arial" w:hAnsi="Arial" w:cs="Arial"/>
        </w:rPr>
      </w:pPr>
      <w:r w:rsidRPr="00A3174B">
        <w:rPr>
          <w:rFonts w:ascii="Arial" w:hAnsi="Arial" w:cs="Arial"/>
        </w:rPr>
        <w:t>a</w:t>
      </w:r>
    </w:p>
    <w:p w14:paraId="729BB834" w14:textId="5AF6930F" w:rsidR="00F9096C" w:rsidRPr="00A3174B" w:rsidRDefault="00F9096C" w:rsidP="001759DF">
      <w:pPr>
        <w:pStyle w:val="Textkomente"/>
        <w:rPr>
          <w:rFonts w:ascii="Arial" w:hAnsi="Arial" w:cs="Arial"/>
        </w:rPr>
      </w:pPr>
    </w:p>
    <w:p w14:paraId="40747D24" w14:textId="05AC8992" w:rsidR="00F9096C" w:rsidRPr="00A3174B" w:rsidRDefault="00F9096C" w:rsidP="001759DF">
      <w:pPr>
        <w:pStyle w:val="Textkomente"/>
        <w:rPr>
          <w:rFonts w:ascii="Arial" w:hAnsi="Arial" w:cs="Arial"/>
          <w:b/>
          <w:bCs/>
        </w:rPr>
      </w:pPr>
      <w:r w:rsidRPr="00A3174B">
        <w:rPr>
          <w:rFonts w:ascii="Arial" w:hAnsi="Arial" w:cs="Arial"/>
          <w:b/>
          <w:bCs/>
        </w:rPr>
        <w:t>2.</w:t>
      </w:r>
    </w:p>
    <w:p w14:paraId="3B6CDD2A" w14:textId="2489A70F" w:rsidR="00F9096C" w:rsidRPr="00A3174B" w:rsidRDefault="00F9096C" w:rsidP="00F9096C">
      <w:pPr>
        <w:jc w:val="both"/>
        <w:rPr>
          <w:rFonts w:ascii="Arial" w:hAnsi="Arial" w:cs="Arial"/>
          <w:b/>
          <w:bCs/>
        </w:rPr>
      </w:pPr>
      <w:r w:rsidRPr="00A3174B">
        <w:rPr>
          <w:rFonts w:ascii="Arial" w:hAnsi="Arial" w:cs="Arial"/>
          <w:b/>
          <w:bCs/>
        </w:rPr>
        <w:t xml:space="preserve">RD </w:t>
      </w:r>
      <w:proofErr w:type="spellStart"/>
      <w:r w:rsidRPr="00A3174B">
        <w:rPr>
          <w:rFonts w:ascii="Arial" w:hAnsi="Arial" w:cs="Arial"/>
          <w:b/>
          <w:bCs/>
        </w:rPr>
        <w:t>Řepora</w:t>
      </w:r>
      <w:proofErr w:type="spellEnd"/>
      <w:r w:rsidRPr="00A3174B">
        <w:rPr>
          <w:rFonts w:ascii="Arial" w:hAnsi="Arial" w:cs="Arial"/>
          <w:b/>
          <w:bCs/>
        </w:rPr>
        <w:t xml:space="preserve"> VI s.r.o.</w:t>
      </w:r>
    </w:p>
    <w:p w14:paraId="5A6D694D" w14:textId="77777777" w:rsidR="00F9096C" w:rsidRPr="00A3174B" w:rsidRDefault="00F9096C" w:rsidP="00F9096C">
      <w:pPr>
        <w:pStyle w:val="Zkladntext"/>
        <w:spacing w:before="0"/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 xml:space="preserve">se sídlem: Nad </w:t>
      </w:r>
      <w:proofErr w:type="spellStart"/>
      <w:r w:rsidRPr="00A3174B">
        <w:rPr>
          <w:rFonts w:ascii="Arial" w:hAnsi="Arial" w:cs="Arial"/>
          <w:sz w:val="20"/>
        </w:rPr>
        <w:t>Ryšánkou</w:t>
      </w:r>
      <w:proofErr w:type="spellEnd"/>
      <w:r w:rsidRPr="00A3174B">
        <w:rPr>
          <w:rFonts w:ascii="Arial" w:hAnsi="Arial" w:cs="Arial"/>
          <w:sz w:val="20"/>
        </w:rPr>
        <w:t xml:space="preserve"> 2103/</w:t>
      </w:r>
      <w:proofErr w:type="gramStart"/>
      <w:r w:rsidRPr="00A3174B">
        <w:rPr>
          <w:rFonts w:ascii="Arial" w:hAnsi="Arial" w:cs="Arial"/>
          <w:sz w:val="20"/>
        </w:rPr>
        <w:t>7a</w:t>
      </w:r>
      <w:proofErr w:type="gramEnd"/>
      <w:r w:rsidRPr="00A3174B">
        <w:rPr>
          <w:rFonts w:ascii="Arial" w:hAnsi="Arial" w:cs="Arial"/>
          <w:sz w:val="20"/>
        </w:rPr>
        <w:t>, 147 00 Praha 4 - Krč</w:t>
      </w:r>
    </w:p>
    <w:p w14:paraId="326D8F08" w14:textId="76B063F2" w:rsidR="00F9096C" w:rsidRPr="00F9096C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F9096C">
        <w:rPr>
          <w:rFonts w:ascii="Arial" w:hAnsi="Arial" w:cs="Arial"/>
          <w:sz w:val="20"/>
        </w:rPr>
        <w:t>IČ: 096 48 780</w:t>
      </w:r>
    </w:p>
    <w:p w14:paraId="3014FA80" w14:textId="125FA3E3" w:rsidR="00F9096C" w:rsidRPr="00F9096C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F9096C">
        <w:rPr>
          <w:rFonts w:ascii="Arial" w:hAnsi="Arial" w:cs="Arial"/>
          <w:sz w:val="20"/>
        </w:rPr>
        <w:t>DIČ CZ09648780</w:t>
      </w:r>
    </w:p>
    <w:p w14:paraId="2FDADD1D" w14:textId="77777777" w:rsidR="00F9096C" w:rsidRPr="00F9096C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color w:val="FF0000"/>
          <w:sz w:val="20"/>
        </w:rPr>
      </w:pPr>
      <w:r w:rsidRPr="00F9096C">
        <w:rPr>
          <w:rFonts w:ascii="Arial" w:hAnsi="Arial" w:cs="Arial"/>
          <w:sz w:val="20"/>
        </w:rPr>
        <w:t xml:space="preserve">zastoupena: jednatelem Liborem </w:t>
      </w:r>
      <w:proofErr w:type="spellStart"/>
      <w:r w:rsidRPr="00F9096C">
        <w:rPr>
          <w:rFonts w:ascii="Arial" w:hAnsi="Arial" w:cs="Arial"/>
          <w:sz w:val="20"/>
        </w:rPr>
        <w:t>Klinským</w:t>
      </w:r>
      <w:proofErr w:type="spellEnd"/>
      <w:r w:rsidRPr="00F9096C">
        <w:rPr>
          <w:rFonts w:ascii="Arial" w:hAnsi="Arial" w:cs="Arial"/>
          <w:color w:val="FF0000"/>
          <w:sz w:val="20"/>
        </w:rPr>
        <w:t xml:space="preserve">        </w:t>
      </w:r>
    </w:p>
    <w:p w14:paraId="7A61687D" w14:textId="77777777" w:rsidR="00F9096C" w:rsidRPr="00A3174B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F9096C">
        <w:rPr>
          <w:rFonts w:ascii="Arial" w:hAnsi="Arial" w:cs="Arial"/>
          <w:sz w:val="20"/>
        </w:rPr>
        <w:t xml:space="preserve">zapsána v obchodním </w:t>
      </w:r>
      <w:proofErr w:type="gramStart"/>
      <w:r w:rsidRPr="00F9096C">
        <w:rPr>
          <w:rFonts w:ascii="Arial" w:hAnsi="Arial" w:cs="Arial"/>
          <w:sz w:val="20"/>
        </w:rPr>
        <w:t>rejstříku</w:t>
      </w:r>
      <w:r w:rsidRPr="00A3174B">
        <w:rPr>
          <w:rFonts w:ascii="Arial" w:hAnsi="Arial" w:cs="Arial"/>
          <w:sz w:val="20"/>
        </w:rPr>
        <w:t xml:space="preserve">  vedeném</w:t>
      </w:r>
      <w:proofErr w:type="gramEnd"/>
      <w:r w:rsidRPr="00A3174B">
        <w:rPr>
          <w:rFonts w:ascii="Arial" w:hAnsi="Arial" w:cs="Arial"/>
          <w:sz w:val="20"/>
        </w:rPr>
        <w:t xml:space="preserve"> Městským soudem v Praze </w:t>
      </w:r>
    </w:p>
    <w:p w14:paraId="05F28424" w14:textId="549C712B" w:rsidR="00F9096C" w:rsidRPr="00A3174B" w:rsidRDefault="00F9096C" w:rsidP="00F9096C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 xml:space="preserve">pod </w:t>
      </w:r>
      <w:proofErr w:type="spellStart"/>
      <w:r w:rsidRPr="00A3174B">
        <w:rPr>
          <w:rFonts w:ascii="Arial" w:hAnsi="Arial" w:cs="Arial"/>
          <w:sz w:val="20"/>
        </w:rPr>
        <w:t>sp</w:t>
      </w:r>
      <w:proofErr w:type="spellEnd"/>
      <w:r w:rsidRPr="00A3174B">
        <w:rPr>
          <w:rFonts w:ascii="Arial" w:hAnsi="Arial" w:cs="Arial"/>
          <w:sz w:val="20"/>
        </w:rPr>
        <w:t>. značkou: C 338969</w:t>
      </w:r>
    </w:p>
    <w:p w14:paraId="43C40EF4" w14:textId="3A60553A" w:rsidR="00F9096C" w:rsidRPr="00A3174B" w:rsidRDefault="00F9096C" w:rsidP="00F9096C">
      <w:pPr>
        <w:pStyle w:val="Zkladntext"/>
        <w:tabs>
          <w:tab w:val="left" w:pos="360"/>
          <w:tab w:val="left" w:pos="4536"/>
        </w:tabs>
        <w:spacing w:before="0"/>
        <w:ind w:left="284" w:hanging="284"/>
        <w:rPr>
          <w:rFonts w:ascii="Arial" w:hAnsi="Arial" w:cs="Arial"/>
          <w:color w:val="FF0000"/>
          <w:sz w:val="20"/>
        </w:rPr>
      </w:pPr>
      <w:r w:rsidRPr="00A3174B">
        <w:rPr>
          <w:rFonts w:ascii="Arial" w:hAnsi="Arial" w:cs="Arial"/>
          <w:sz w:val="20"/>
        </w:rPr>
        <w:t xml:space="preserve">bankovní </w:t>
      </w:r>
      <w:proofErr w:type="gramStart"/>
      <w:r w:rsidRPr="00A3174B">
        <w:rPr>
          <w:rFonts w:ascii="Arial" w:hAnsi="Arial" w:cs="Arial"/>
          <w:sz w:val="20"/>
        </w:rPr>
        <w:t xml:space="preserve">spojení:  </w:t>
      </w:r>
      <w:r w:rsidRPr="00A3174B">
        <w:rPr>
          <w:rFonts w:ascii="Arial" w:hAnsi="Arial" w:cs="Arial"/>
          <w:sz w:val="20"/>
        </w:rPr>
        <w:tab/>
      </w:r>
      <w:proofErr w:type="gramEnd"/>
      <w:r w:rsidRPr="00A3174B">
        <w:rPr>
          <w:rFonts w:ascii="Arial" w:hAnsi="Arial" w:cs="Arial"/>
          <w:sz w:val="20"/>
        </w:rPr>
        <w:t xml:space="preserve">číslo účtu: </w:t>
      </w:r>
    </w:p>
    <w:p w14:paraId="537E711E" w14:textId="3B0ECB85" w:rsidR="00F9096C" w:rsidRPr="00A3174B" w:rsidRDefault="00F9096C" w:rsidP="00F9096C">
      <w:pPr>
        <w:pStyle w:val="Zkladntext"/>
        <w:tabs>
          <w:tab w:val="left" w:pos="360"/>
        </w:tabs>
        <w:spacing w:before="0"/>
        <w:ind w:left="284" w:hanging="284"/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 xml:space="preserve">kontaktní </w:t>
      </w:r>
      <w:proofErr w:type="gramStart"/>
      <w:r w:rsidRPr="00A3174B">
        <w:rPr>
          <w:rFonts w:ascii="Arial" w:hAnsi="Arial" w:cs="Arial"/>
          <w:sz w:val="20"/>
        </w:rPr>
        <w:t>osoba:  Libor</w:t>
      </w:r>
      <w:proofErr w:type="gramEnd"/>
      <w:r w:rsidRPr="00A3174B">
        <w:rPr>
          <w:rFonts w:ascii="Arial" w:hAnsi="Arial" w:cs="Arial"/>
          <w:sz w:val="20"/>
        </w:rPr>
        <w:t xml:space="preserve"> </w:t>
      </w:r>
      <w:proofErr w:type="spellStart"/>
      <w:r w:rsidRPr="00A3174B">
        <w:rPr>
          <w:rFonts w:ascii="Arial" w:hAnsi="Arial" w:cs="Arial"/>
          <w:sz w:val="20"/>
        </w:rPr>
        <w:t>Klinský</w:t>
      </w:r>
      <w:proofErr w:type="spellEnd"/>
      <w:r w:rsidRPr="00A3174B">
        <w:rPr>
          <w:rFonts w:ascii="Arial" w:hAnsi="Arial" w:cs="Arial"/>
          <w:sz w:val="20"/>
        </w:rPr>
        <w:t xml:space="preserve">       email: </w:t>
      </w:r>
      <w:r w:rsidRPr="00F9096C">
        <w:rPr>
          <w:rFonts w:ascii="Arial" w:hAnsi="Arial" w:cs="Arial"/>
          <w:b/>
          <w:bCs/>
          <w:sz w:val="20"/>
        </w:rPr>
        <w:t xml:space="preserve"> </w:t>
      </w:r>
    </w:p>
    <w:p w14:paraId="065B237E" w14:textId="0C84775F" w:rsidR="00796A29" w:rsidRPr="00A3174B" w:rsidRDefault="00796A29" w:rsidP="00A3174B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 w:rsidRPr="00A3174B">
        <w:rPr>
          <w:rFonts w:ascii="Arial" w:hAnsi="Arial" w:cs="Arial"/>
          <w:sz w:val="20"/>
        </w:rPr>
        <w:t>(dále jen „</w:t>
      </w:r>
      <w:r w:rsidR="001759DF" w:rsidRPr="00A3174B">
        <w:rPr>
          <w:rFonts w:ascii="Arial" w:hAnsi="Arial" w:cs="Arial"/>
          <w:b/>
          <w:sz w:val="20"/>
        </w:rPr>
        <w:t>Stavebník</w:t>
      </w:r>
      <w:r w:rsidRPr="00A3174B">
        <w:rPr>
          <w:rFonts w:ascii="Arial" w:hAnsi="Arial" w:cs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41A27313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</w:p>
    <w:p w14:paraId="0F77ADEA" w14:textId="10257DDE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095A5896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lastRenderedPageBreak/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8DE1577" w:rsidR="00FF2A17" w:rsidRPr="00A3174B" w:rsidRDefault="00F9096C" w:rsidP="00A3174B">
      <w:pPr>
        <w:pStyle w:val="Odstavecseseznamem"/>
        <w:spacing w:before="60" w:after="60"/>
        <w:ind w:left="567"/>
        <w:contextualSpacing w:val="0"/>
        <w:jc w:val="both"/>
        <w:rPr>
          <w:rFonts w:ascii="Arial" w:hAnsi="Arial" w:cs="Arial"/>
          <w:b/>
          <w:bCs/>
        </w:rPr>
      </w:pPr>
      <w:r w:rsidRPr="00A3174B">
        <w:rPr>
          <w:rFonts w:ascii="Arial" w:hAnsi="Arial" w:cs="Arial"/>
          <w:b/>
          <w:bCs/>
          <w:u w:val="single"/>
        </w:rPr>
        <w:t xml:space="preserve">RD </w:t>
      </w:r>
      <w:proofErr w:type="spellStart"/>
      <w:r w:rsidRPr="00A3174B">
        <w:rPr>
          <w:rFonts w:ascii="Arial" w:hAnsi="Arial" w:cs="Arial"/>
          <w:b/>
          <w:bCs/>
          <w:u w:val="single"/>
        </w:rPr>
        <w:t>Řepora</w:t>
      </w:r>
      <w:proofErr w:type="spellEnd"/>
      <w:r w:rsidRPr="00A3174B">
        <w:rPr>
          <w:rFonts w:ascii="Arial" w:hAnsi="Arial" w:cs="Arial"/>
          <w:b/>
          <w:bCs/>
          <w:u w:val="single"/>
        </w:rPr>
        <w:t xml:space="preserve"> V – etapa 1</w:t>
      </w:r>
      <w:r w:rsidR="00BB6A37">
        <w:rPr>
          <w:rFonts w:ascii="Arial" w:hAnsi="Arial" w:cs="Arial"/>
          <w:b/>
          <w:bCs/>
        </w:rPr>
        <w:t xml:space="preserve"> – výstavba komunikací a inženýrských sítí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contextualSpacing w:val="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3044776" w:rsidR="00C54C82" w:rsidRPr="00AE617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</w:t>
      </w:r>
      <w:proofErr w:type="gramStart"/>
      <w:r w:rsidRPr="00A47398">
        <w:rPr>
          <w:rFonts w:ascii="Arial" w:hAnsi="Arial"/>
          <w:sz w:val="20"/>
        </w:rPr>
        <w:t xml:space="preserve">je </w:t>
      </w:r>
      <w:r w:rsidR="00AE6178" w:rsidRPr="00AE6178">
        <w:rPr>
          <w:rFonts w:ascii="Arial" w:hAnsi="Arial" w:cs="Arial"/>
          <w:sz w:val="20"/>
        </w:rPr>
        <w:t>:</w:t>
      </w:r>
      <w:proofErr w:type="gramEnd"/>
      <w:r w:rsidR="00AE6178" w:rsidRPr="00AE6178">
        <w:rPr>
          <w:rFonts w:ascii="Arial" w:hAnsi="Arial" w:cs="Arial"/>
          <w:sz w:val="20"/>
        </w:rPr>
        <w:t xml:space="preserve"> </w:t>
      </w:r>
      <w:r w:rsidR="00AE6178" w:rsidRPr="00A3174B">
        <w:rPr>
          <w:rFonts w:ascii="Arial" w:hAnsi="Arial" w:cs="Arial"/>
          <w:sz w:val="20"/>
        </w:rPr>
        <w:t xml:space="preserve"> </w:t>
      </w:r>
    </w:p>
    <w:p w14:paraId="05DFF9E4" w14:textId="4B91944C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/>
    </w:p>
    <w:p w14:paraId="7C824A02" w14:textId="455803CC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 Provozovatelem je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5C96849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lastRenderedPageBreak/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1308DE44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</w:t>
      </w:r>
      <w:r w:rsidRPr="00DF7460">
        <w:rPr>
          <w:rFonts w:ascii="Arial" w:hAnsi="Arial" w:cs="Arial"/>
          <w:sz w:val="20"/>
        </w:rPr>
        <w:lastRenderedPageBreak/>
        <w:t>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 xml:space="preserve"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</w:t>
      </w:r>
      <w:r w:rsidRPr="0085561B">
        <w:rPr>
          <w:rFonts w:ascii="Arial" w:hAnsi="Arial" w:cs="Arial"/>
          <w:sz w:val="20"/>
        </w:rPr>
        <w:lastRenderedPageBreak/>
        <w:t>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</w:t>
      </w:r>
      <w:r w:rsidRPr="00D82195">
        <w:rPr>
          <w:rFonts w:ascii="Arial" w:hAnsi="Arial" w:cs="Arial"/>
          <w:sz w:val="20"/>
        </w:rPr>
        <w:lastRenderedPageBreak/>
        <w:t xml:space="preserve">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</w:t>
      </w:r>
      <w:r w:rsidR="00824316" w:rsidRPr="00824316">
        <w:rPr>
          <w:rFonts w:ascii="Arial" w:hAnsi="Arial"/>
          <w:iCs/>
          <w:sz w:val="20"/>
        </w:rPr>
        <w:lastRenderedPageBreak/>
        <w:t xml:space="preserve">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D3D1B1" w14:textId="06D3D4E1" w:rsid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proofErr w:type="gramStart"/>
            <w:r>
              <w:rPr>
                <w:rFonts w:ascii="Arial" w:hAnsi="Arial" w:cs="Arial"/>
                <w:b/>
                <w:lang w:val="cs-CZ"/>
              </w:rPr>
              <w:t>Stavebník</w:t>
            </w:r>
            <w:r w:rsidR="00AE2121">
              <w:rPr>
                <w:rFonts w:ascii="Arial" w:hAnsi="Arial" w:cs="Arial"/>
                <w:b/>
                <w:lang w:val="cs-CZ"/>
              </w:rPr>
              <w:t xml:space="preserve">  1</w:t>
            </w:r>
            <w:proofErr w:type="gramEnd"/>
            <w:r w:rsidR="00AE2121">
              <w:rPr>
                <w:rFonts w:ascii="Arial" w:hAnsi="Arial" w:cs="Arial"/>
                <w:b/>
                <w:lang w:val="cs-CZ"/>
              </w:rPr>
              <w:t>, 2</w:t>
            </w:r>
          </w:p>
          <w:p w14:paraId="319FDBF4" w14:textId="1E327E62" w:rsidR="00AE6178" w:rsidRPr="00DD4C34" w:rsidRDefault="00AE6178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28C3AAD2" w14:textId="77777777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  <w:p w14:paraId="56A5C65B" w14:textId="54966593" w:rsidR="00AE6178" w:rsidRPr="00DD4C34" w:rsidRDefault="00AE6178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16B02DCF" w:rsidR="00C06B3B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2"/>
          <w:footerReference w:type="default" r:id="rId13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C8C1" w14:textId="77777777" w:rsidR="000A4353" w:rsidRDefault="000A4353" w:rsidP="00796A29">
      <w:r>
        <w:separator/>
      </w:r>
    </w:p>
  </w:endnote>
  <w:endnote w:type="continuationSeparator" w:id="0">
    <w:p w14:paraId="47D08EA4" w14:textId="77777777" w:rsidR="000A4353" w:rsidRDefault="000A4353" w:rsidP="00796A29">
      <w:r>
        <w:continuationSeparator/>
      </w:r>
    </w:p>
  </w:endnote>
  <w:endnote w:type="continuationNotice" w:id="1">
    <w:p w14:paraId="537BD16A" w14:textId="77777777" w:rsidR="000A4353" w:rsidRDefault="000A4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7DD1" w14:textId="77777777" w:rsidR="000A4353" w:rsidRDefault="000A4353" w:rsidP="00796A29">
      <w:r>
        <w:separator/>
      </w:r>
    </w:p>
  </w:footnote>
  <w:footnote w:type="continuationSeparator" w:id="0">
    <w:p w14:paraId="7EC348CA" w14:textId="77777777" w:rsidR="000A4353" w:rsidRDefault="000A4353" w:rsidP="00796A29">
      <w:r>
        <w:continuationSeparator/>
      </w:r>
    </w:p>
  </w:footnote>
  <w:footnote w:type="continuationNotice" w:id="1">
    <w:p w14:paraId="4EE30447" w14:textId="77777777" w:rsidR="000A4353" w:rsidRDefault="000A4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435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1E93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07E1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3174B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E2121"/>
    <w:rsid w:val="00AE6178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B6A37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96C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455739A3-D736-47AE-8AC9-52D4EA3DE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6913</Words>
  <Characters>40791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Bartošíková Sophie</cp:lastModifiedBy>
  <cp:revision>2</cp:revision>
  <cp:lastPrinted>2020-08-17T11:56:00Z</cp:lastPrinted>
  <dcterms:created xsi:type="dcterms:W3CDTF">2021-07-28T07:03:00Z</dcterms:created>
  <dcterms:modified xsi:type="dcterms:W3CDTF">2021-07-28T07:03:00Z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