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0"/>
        <w:gridCol w:w="40"/>
        <w:gridCol w:w="100"/>
        <w:gridCol w:w="160"/>
        <w:gridCol w:w="260"/>
        <w:gridCol w:w="900"/>
        <w:gridCol w:w="880"/>
        <w:gridCol w:w="700"/>
        <w:gridCol w:w="320"/>
        <w:gridCol w:w="420"/>
        <w:gridCol w:w="60"/>
        <w:gridCol w:w="680"/>
        <w:gridCol w:w="40"/>
        <w:gridCol w:w="1100"/>
        <w:gridCol w:w="600"/>
        <w:gridCol w:w="300"/>
        <w:gridCol w:w="2200"/>
      </w:tblGrid>
      <w:tr w:rsidR="47483646" w14:paraId="29A8FFD1" w14:textId="77777777">
        <w:trPr>
          <w:gridAfter w:val="17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958D" w14:textId="77777777" w:rsidR="00E873EB" w:rsidRDefault="00E873EB">
            <w:pPr>
              <w:pStyle w:val="EMPTYCELLSTYLE"/>
            </w:pPr>
          </w:p>
        </w:tc>
      </w:tr>
      <w:tr w:rsidR="47483645" w14:paraId="3F9174A8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B43D" w14:textId="77777777" w:rsidR="00E873EB" w:rsidRDefault="00581DDD">
            <w:pPr>
              <w:pStyle w:val="nadpisSmlouvy"/>
            </w:pPr>
            <w:r>
              <w:t>DODATEK č. 1</w:t>
            </w:r>
          </w:p>
        </w:tc>
      </w:tr>
      <w:tr w:rsidR="47483643" w14:paraId="74D17DA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2B78" w14:textId="77777777" w:rsidR="00E873EB" w:rsidRDefault="00581DDD">
            <w:pPr>
              <w:pStyle w:val="podnadpisDodatku"/>
            </w:pPr>
            <w:r>
              <w:t>(dále také jen „dodatek“)</w:t>
            </w:r>
          </w:p>
        </w:tc>
      </w:tr>
      <w:tr w:rsidR="47483641" w14:paraId="0265A29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817" w14:textId="77777777" w:rsidR="00E873EB" w:rsidRDefault="00581DDD">
            <w:pPr>
              <w:pStyle w:val="nadpisSmlouvy"/>
            </w:pPr>
            <w:r>
              <w:t xml:space="preserve">k pojistné smlouvě č. </w:t>
            </w:r>
          </w:p>
          <w:p w14:paraId="36E4CBA7" w14:textId="77777777" w:rsidR="00E873EB" w:rsidRDefault="00581DDD">
            <w:pPr>
              <w:pStyle w:val="nadpisSmlouvy"/>
            </w:pPr>
            <w:r>
              <w:t>8073624012</w:t>
            </w:r>
          </w:p>
        </w:tc>
      </w:tr>
      <w:tr w:rsidR="47483638" w14:paraId="73A6B976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EA99" w14:textId="77777777" w:rsidR="00E873EB" w:rsidRDefault="00581DDD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6CEDCC41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D874" w14:textId="77777777" w:rsidR="00E873EB" w:rsidRDefault="00581DDD">
            <w:pPr>
              <w:pStyle w:val="smluvniStrany"/>
            </w:pPr>
            <w:r>
              <w:t>Smluvní strany:</w:t>
            </w:r>
          </w:p>
        </w:tc>
      </w:tr>
      <w:tr w:rsidR="47483632" w14:paraId="1ABA30AD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CBF3" w14:textId="77777777" w:rsidR="00E873EB" w:rsidRDefault="00581DDD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484E51FD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A1903" w14:textId="77777777" w:rsidR="00E873EB" w:rsidRDefault="00581DDD">
            <w:pPr>
              <w:pStyle w:val="textIdentifikace"/>
            </w:pPr>
            <w:r>
              <w:t>se sídlem Masarykovo náměstí 1458, Zelené Předměstí</w:t>
            </w:r>
          </w:p>
          <w:p w14:paraId="76CE82D2" w14:textId="77777777" w:rsidR="00E873EB" w:rsidRDefault="00581DDD">
            <w:pPr>
              <w:pStyle w:val="textIdentifikace"/>
            </w:pPr>
            <w:r>
              <w:t>53002 Pardubice, Česká republika</w:t>
            </w:r>
          </w:p>
          <w:p w14:paraId="6B7DA082" w14:textId="77777777" w:rsidR="00E873EB" w:rsidRDefault="00581DDD">
            <w:pPr>
              <w:pStyle w:val="textIdentifikace"/>
            </w:pPr>
            <w:r>
              <w:t>IČO: 45534306, DIČ: CZ699000761</w:t>
            </w:r>
          </w:p>
          <w:p w14:paraId="4D837C8F" w14:textId="77777777" w:rsidR="00E873EB" w:rsidRDefault="00581DDD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0E4C8B1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4128" w14:textId="77777777" w:rsidR="00E873EB" w:rsidRDefault="00581DDD">
            <w:pPr>
              <w:pStyle w:val="textIdentifikace"/>
            </w:pPr>
            <w:r>
              <w:t>(dále jen pojistitel)</w:t>
            </w:r>
          </w:p>
        </w:tc>
      </w:tr>
      <w:tr w:rsidR="47483622" w14:paraId="5B2BABA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29C1" w14:textId="36BF56C6" w:rsidR="00E873EB" w:rsidRDefault="00581DDD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58D9A37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0326" w14:textId="77777777" w:rsidR="00E873EB" w:rsidRDefault="00581DDD">
            <w:pPr>
              <w:pStyle w:val="textIdentifikaceRadekPred"/>
            </w:pPr>
            <w:r>
              <w:t>pojistitele zastupuje: Ing. Martina Pospíšilová, account manager</w:t>
            </w:r>
          </w:p>
        </w:tc>
      </w:tr>
      <w:tr w:rsidR="47483616" w14:paraId="14EA9E3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0431" w14:textId="77777777" w:rsidR="00E873EB" w:rsidRDefault="00E873EB">
            <w:pPr>
              <w:pStyle w:val="EMPTYCELLSTYLE"/>
            </w:pPr>
          </w:p>
        </w:tc>
      </w:tr>
      <w:tr w:rsidR="47483614" w14:paraId="227BBB7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C30F" w14:textId="77777777" w:rsidR="00E873EB" w:rsidRDefault="00581DDD">
            <w:pPr>
              <w:pStyle w:val="smluvniStrany"/>
            </w:pPr>
            <w:r>
              <w:t>a</w:t>
            </w:r>
          </w:p>
        </w:tc>
      </w:tr>
      <w:tr w:rsidR="47483611" w14:paraId="72D73C0E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393BA" w14:textId="77777777" w:rsidR="00E873EB" w:rsidRDefault="00581DDD">
            <w:pPr>
              <w:pStyle w:val="jmenoPojistnikaUvod"/>
            </w:pPr>
            <w:r>
              <w:t>Muzeum města Brna,příspěvková organizace</w:t>
            </w:r>
          </w:p>
        </w:tc>
      </w:tr>
      <w:tr w:rsidR="47483609" w14:paraId="09406059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DE18" w14:textId="77777777" w:rsidR="00E873EB" w:rsidRDefault="00581DDD">
            <w:pPr>
              <w:pStyle w:val="textIdentifikace"/>
            </w:pPr>
            <w:r>
              <w:t>se sídlem / místem podnikání Špilberk 1</w:t>
            </w:r>
          </w:p>
          <w:p w14:paraId="0280260D" w14:textId="77777777" w:rsidR="00E873EB" w:rsidRDefault="00581DDD">
            <w:pPr>
              <w:pStyle w:val="textIdentifikace"/>
            </w:pPr>
            <w:r>
              <w:t>60200, Brno - Střed</w:t>
            </w:r>
          </w:p>
        </w:tc>
      </w:tr>
      <w:tr w:rsidR="47483605" w14:paraId="3962E9E3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DC7A" w14:textId="77777777" w:rsidR="00E873EB" w:rsidRDefault="00581DDD">
            <w:pPr>
              <w:pStyle w:val="textIdentifikaceRadekPred"/>
            </w:pPr>
            <w:r>
              <w:t>IČO: 00101427</w:t>
            </w:r>
          </w:p>
        </w:tc>
      </w:tr>
      <w:tr w:rsidR="47483603" w14:paraId="58BCEFC2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6F2E" w14:textId="77777777" w:rsidR="00E873EB" w:rsidRDefault="00581DDD">
            <w:pPr>
              <w:pStyle w:val="textIdentifikace"/>
            </w:pPr>
            <w:r>
              <w:t>Výpis z OR, vedeného KS v Brně, oddíl Pr, vložka 34</w:t>
            </w:r>
          </w:p>
        </w:tc>
      </w:tr>
      <w:tr w:rsidR="47483601" w14:paraId="2B62E0E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BA38" w14:textId="77777777" w:rsidR="00E873EB" w:rsidRDefault="00581DDD">
            <w:pPr>
              <w:pStyle w:val="textIdentifikace"/>
            </w:pPr>
            <w:r>
              <w:t>(dále jen „pojistník“)</w:t>
            </w:r>
          </w:p>
        </w:tc>
      </w:tr>
      <w:tr w:rsidR="47483598" w14:paraId="0BF6E1BD" w14:textId="77777777">
        <w:tc>
          <w:tcPr>
            <w:tcW w:w="18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6FE9" w14:textId="77777777" w:rsidR="00E873EB" w:rsidRDefault="00581DDD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F265" w14:textId="0EC78C4B" w:rsidR="00E873EB" w:rsidRDefault="00581DDD">
            <w:pPr>
              <w:pStyle w:val="textIdentifikaceRadekPred"/>
            </w:pPr>
            <w:r>
              <w:t xml:space="preserve"> </w:t>
            </w:r>
            <w:r w:rsidR="00A035D6">
              <w:t>PhDr. Pavel Ciprian, statutární orgán</w:t>
            </w:r>
            <w:bookmarkStart w:id="0" w:name="_GoBack"/>
            <w:bookmarkEnd w:id="0"/>
          </w:p>
        </w:tc>
      </w:tr>
      <w:tr w:rsidR="47483594" w14:paraId="18BF7CA8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C95C" w14:textId="77777777" w:rsidR="00E873EB" w:rsidRDefault="00581DDD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6871641C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EF49" w14:textId="77777777" w:rsidR="00E873EB" w:rsidRDefault="00581DDD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51B601A4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11A86E6" w14:textId="77777777" w:rsidR="00E873EB" w:rsidRDefault="00581DDD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3D7286A8" w14:textId="77777777">
        <w:tc>
          <w:tcPr>
            <w:tcW w:w="360" w:type="dxa"/>
            <w:gridSpan w:val="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E69D37C" w14:textId="77777777" w:rsidR="00E873EB" w:rsidRDefault="00581DDD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16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CE30CE5" w14:textId="77777777" w:rsidR="00E873EB" w:rsidRDefault="00581DDD">
            <w:pPr>
              <w:pStyle w:val="nadpisTypOj"/>
              <w:keepNext/>
              <w:keepLines/>
              <w:jc w:val="left"/>
            </w:pPr>
            <w:r>
              <w:t xml:space="preserve">Živelní pojištění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63048F62" w14:textId="77777777">
        <w:tc>
          <w:tcPr>
            <w:tcW w:w="300" w:type="dxa"/>
          </w:tcPr>
          <w:p w14:paraId="6DA4B039" w14:textId="77777777" w:rsidR="00E873EB" w:rsidRDefault="00E873EB">
            <w:pPr>
              <w:pStyle w:val="EMPTYCELLSTYLE"/>
              <w:keepNext/>
            </w:pPr>
          </w:p>
        </w:tc>
        <w:tc>
          <w:tcPr>
            <w:tcW w:w="60" w:type="dxa"/>
          </w:tcPr>
          <w:p w14:paraId="620968B3" w14:textId="77777777" w:rsidR="00E873EB" w:rsidRDefault="00E873EB">
            <w:pPr>
              <w:pStyle w:val="EMPTYCELLSTYLE"/>
              <w:keepNext/>
            </w:pPr>
          </w:p>
        </w:tc>
        <w:tc>
          <w:tcPr>
            <w:tcW w:w="8740" w:type="dxa"/>
            <w:gridSpan w:val="16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E028DBF" w14:textId="77777777" w:rsidR="00E873EB" w:rsidRDefault="00E873EB">
            <w:pPr>
              <w:pStyle w:val="EMPTYCELLSTYLE"/>
              <w:keepNext/>
            </w:pPr>
          </w:p>
        </w:tc>
      </w:tr>
      <w:tr w:rsidR="47483582" w14:paraId="5978F741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88E1" w14:textId="77777777" w:rsidR="00E873EB" w:rsidRDefault="00581DDD">
            <w:pPr>
              <w:pStyle w:val="nadpisCyklu"/>
            </w:pPr>
            <w:r>
              <w:t>ZMĚNY</w:t>
            </w:r>
          </w:p>
        </w:tc>
      </w:tr>
      <w:tr w:rsidR="47483580" w14:paraId="24F7F378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5873" w14:textId="77777777" w:rsidR="00E873EB" w:rsidRDefault="00581DDD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 xml:space="preserve">. Pojistitel a pojistník výslovně a v zájmu předejití jakýmkoliv budoucím právním sporům o výklad pojistné smlouvy a tohoto dodatku uvádějí pro přehlednost níže vždy celý obsah právního vztahu pojištění vztahující se k jednotlivé hodnotě </w:t>
            </w:r>
            <w:r>
              <w:rPr>
                <w:sz w:val="20"/>
              </w:rPr>
              <w:lastRenderedPageBreak/>
              <w:t>pojistného zájmu (k jednotlivému předmětu pojištění), a to i v těch jeho částech či dílčích parametrech, které tímto dodatkem změněny nebyly:</w:t>
            </w:r>
          </w:p>
        </w:tc>
      </w:tr>
      <w:tr w:rsidR="47483575" w14:paraId="67888816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0534" w14:textId="77777777" w:rsidR="00E873EB" w:rsidRDefault="00581DDD">
            <w:pPr>
              <w:pStyle w:val="textNormalBlokB90"/>
            </w:pPr>
            <w:r>
              <w:lastRenderedPageBreak/>
              <w:t>V souladu s článkem I. pojistné smlouvy se toto pojištění řídí také Všeobecnými pojistnými podmínkami - zvláštní část Živelní pojištění VPP Z 2014 (dále jen "VPP Z 2014"), které jsou nedílnou součástí a přílohou této pojistné smlouvy.</w:t>
            </w:r>
          </w:p>
        </w:tc>
      </w:tr>
      <w:tr w:rsidR="47483573" w14:paraId="65CC62E9" w14:textId="77777777">
        <w:tc>
          <w:tcPr>
            <w:tcW w:w="9100" w:type="dxa"/>
            <w:gridSpan w:val="18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7BD998EB" w14:textId="77777777" w:rsidR="00E873EB" w:rsidRDefault="00581DDD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70" w14:paraId="04C5A26F" w14:textId="77777777">
        <w:trPr>
          <w:cantSplit/>
        </w:trPr>
        <w:tc>
          <w:tcPr>
            <w:tcW w:w="41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FB6214" w14:textId="77777777" w:rsidR="00E873EB" w:rsidRDefault="00581DDD">
            <w:pPr>
              <w:pStyle w:val="tableTD0"/>
              <w:keepNext/>
              <w:keepLines/>
            </w:pPr>
            <w:r>
              <w:t>předmět pojištění:</w:t>
            </w:r>
          </w:p>
          <w:p w14:paraId="02EE8684" w14:textId="77777777" w:rsidR="00E873EB" w:rsidRDefault="00581DDD">
            <w:pPr>
              <w:pStyle w:val="tableTD0"/>
              <w:keepNext/>
              <w:keepLines/>
            </w:pPr>
            <w:r>
              <w:rPr>
                <w:b/>
              </w:rPr>
              <w:t>5. Soubor věcí movitých s výjimkou zásob a věcí uvedených v čl. III, odst. 2 a 3 VPP</w:t>
            </w:r>
          </w:p>
        </w:tc>
        <w:tc>
          <w:tcPr>
            <w:tcW w:w="4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AB2323" w14:textId="77777777" w:rsidR="00E873EB" w:rsidRDefault="00581DDD">
            <w:pPr>
              <w:pStyle w:val="tableTD0"/>
              <w:keepNext/>
              <w:keepLines/>
            </w:pPr>
            <w:r>
              <w:t>specifikace předmětu pojištění:</w:t>
            </w:r>
          </w:p>
          <w:p w14:paraId="276FBD80" w14:textId="77777777" w:rsidR="00E873EB" w:rsidRDefault="00581DDD">
            <w:pPr>
              <w:pStyle w:val="tableTD0"/>
              <w:keepNext/>
              <w:keepLines/>
            </w:pPr>
            <w:r>
              <w:rPr>
                <w:b/>
              </w:rPr>
              <w:t>provozní inventář sloužící k zabezpečení náplně činnosti pojistníka a sbírkové předměty, které nespa</w:t>
            </w:r>
          </w:p>
        </w:tc>
      </w:tr>
      <w:tr w:rsidR="47483565" w14:paraId="013226D9" w14:textId="77777777">
        <w:trPr>
          <w:cantSplit/>
        </w:trPr>
        <w:tc>
          <w:tcPr>
            <w:tcW w:w="3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F52204" w14:textId="77777777" w:rsidR="00E873EB" w:rsidRDefault="00581DDD">
            <w:pPr>
              <w:pStyle w:val="tableTD0"/>
              <w:keepNext/>
              <w:keepLines/>
            </w:pPr>
            <w:r>
              <w:t>místo pojištění:</w:t>
            </w:r>
          </w:p>
          <w:p w14:paraId="5326B4F1" w14:textId="77777777" w:rsidR="00E873EB" w:rsidRDefault="00581DDD">
            <w:pPr>
              <w:pStyle w:val="tableTD0"/>
              <w:keepNext/>
              <w:keepLines/>
            </w:pPr>
            <w:r>
              <w:t>viz příloha č. 1, Brno - Město 60200</w:t>
            </w:r>
          </w:p>
        </w:tc>
        <w:tc>
          <w:tcPr>
            <w:tcW w:w="2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F851F4" w14:textId="77777777" w:rsidR="00E873EB" w:rsidRDefault="00581DDD">
            <w:pPr>
              <w:pStyle w:val="tableTD0"/>
              <w:keepNext/>
              <w:keepLines/>
            </w:pPr>
            <w:r>
              <w:t>vlastnictví předmětu pojištění:</w:t>
            </w:r>
          </w:p>
          <w:p w14:paraId="676CAD4B" w14:textId="77777777" w:rsidR="00E873EB" w:rsidRDefault="00581DDD">
            <w:pPr>
              <w:pStyle w:val="tableTD0"/>
              <w:keepNext/>
              <w:keepLines/>
            </w:pPr>
            <w:r>
              <w:t>vlastní i cizí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41042A" w14:textId="77777777" w:rsidR="00E873EB" w:rsidRDefault="00581DDD">
            <w:pPr>
              <w:pStyle w:val="tableTD0"/>
              <w:keepNext/>
              <w:keepLines/>
            </w:pPr>
            <w:r>
              <w:t>pojistná hodnota:</w:t>
            </w:r>
          </w:p>
          <w:p w14:paraId="0C49AB02" w14:textId="77777777" w:rsidR="00E873EB" w:rsidRDefault="00581DDD">
            <w:pPr>
              <w:pStyle w:val="tableTD0"/>
              <w:keepNext/>
              <w:keepLines/>
            </w:pPr>
            <w:r>
              <w:t>nová cena</w:t>
            </w:r>
          </w:p>
        </w:tc>
      </w:tr>
      <w:tr w:rsidR="47483558" w14:paraId="4E65E4BB" w14:textId="77777777">
        <w:trPr>
          <w:cantSplit/>
        </w:trPr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09125E" w14:textId="77777777" w:rsidR="00E873EB" w:rsidRDefault="00581DDD">
            <w:pPr>
              <w:pStyle w:val="tableTHbold0"/>
              <w:keepNext/>
              <w:keepLines/>
            </w:pPr>
            <w:r>
              <w:t>Pojištění se sjednává pro případ negativního působení pojistných nebezpečí: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12A18E" w14:textId="77777777" w:rsidR="00E873EB" w:rsidRDefault="00581DDD">
            <w:pPr>
              <w:pStyle w:val="tableTHbold0"/>
              <w:keepNext/>
              <w:keepLines/>
            </w:pPr>
            <w:r>
              <w:t>horní hranice pojistného plnění (Kč):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CC77E9" w14:textId="77777777" w:rsidR="00E873EB" w:rsidRDefault="00581DDD">
            <w:pPr>
              <w:pStyle w:val="tableTHbold0"/>
              <w:keepNext/>
              <w:keepLines/>
            </w:pPr>
            <w:r>
              <w:t>způsob pojištění: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210FBF" w14:textId="77777777" w:rsidR="00E873EB" w:rsidRDefault="00581DDD">
            <w:pPr>
              <w:pStyle w:val="tableTHbold0"/>
              <w:keepNext/>
              <w:keepLines/>
            </w:pPr>
            <w:r>
              <w:t>spoluúčast:</w:t>
            </w:r>
          </w:p>
        </w:tc>
      </w:tr>
      <w:tr w:rsidR="47483551" w14:paraId="4CAC1C0E" w14:textId="77777777">
        <w:trPr>
          <w:cantSplit/>
        </w:trPr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04CBAD" w14:textId="77777777" w:rsidR="00E873EB" w:rsidRDefault="00581DDD">
            <w:pPr>
              <w:pStyle w:val="tableTD0"/>
              <w:keepNext/>
              <w:keepLines/>
            </w:pPr>
            <w:r>
              <w:t>FLEXA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067B58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98 600 000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B6D475" w14:textId="77777777" w:rsidR="00E873EB" w:rsidRDefault="00E873EB">
            <w:pPr>
              <w:pStyle w:val="tableTD0"/>
              <w:keepNext/>
              <w:keepLines/>
              <w:jc w:val="center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015F27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100 000 Kč</w:t>
            </w:r>
          </w:p>
        </w:tc>
      </w:tr>
      <w:tr w:rsidR="47483547" w14:paraId="5112E7DA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2A78" w14:textId="77777777" w:rsidR="00E873EB" w:rsidRDefault="00581DDD">
            <w:pPr>
              <w:pStyle w:val="beznyText"/>
              <w:keepNext/>
              <w:keepLines/>
              <w:jc w:val="both"/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Zkratkou „1R“ se pro účely této pojistné smlouvy rozumí pojištění prvního rizika a v tomto případě je horní hranice pojistného plnění stanovena limitem pojistného plnění; je-li pole výše uvedené tabulky ve sloupci „Způsob pojištění“ prázdné, rozumí se tím pro účely této pojistné smlouvy, že pojištění není sjednáno ve výše uvedeném speciálním právním režimu a horní hranice pojistného plnění je určena pojistnou částkou.</w:t>
            </w:r>
          </w:p>
        </w:tc>
      </w:tr>
      <w:tr w:rsidR="47483544" w14:paraId="34475476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811E" w14:textId="77777777" w:rsidR="00E873EB" w:rsidRDefault="00E873EB">
            <w:pPr>
              <w:pStyle w:val="beznyText"/>
            </w:pPr>
          </w:p>
        </w:tc>
      </w:tr>
      <w:tr w:rsidR="47483543" w14:paraId="5A32DE70" w14:textId="77777777">
        <w:tc>
          <w:tcPr>
            <w:tcW w:w="9100" w:type="dxa"/>
            <w:gridSpan w:val="18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2F7FF04F" w14:textId="77777777" w:rsidR="00E873EB" w:rsidRDefault="00581DDD">
            <w:pPr>
              <w:pStyle w:val="textVykladPojmu"/>
              <w:keepNext/>
              <w:keepLines/>
            </w:pPr>
            <w:r>
              <w:t>VÝKLAD POJMŮ</w:t>
            </w:r>
          </w:p>
        </w:tc>
      </w:tr>
      <w:tr w:rsidR="47483541" w14:paraId="60CF2649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636C" w14:textId="77777777" w:rsidR="00E873EB" w:rsidRDefault="00581DDD">
            <w:pPr>
              <w:pStyle w:val="textNormalBlokB90"/>
            </w:pPr>
            <w:r>
              <w:t xml:space="preserve">Pojmem </w:t>
            </w:r>
            <w:r>
              <w:rPr>
                <w:b/>
              </w:rPr>
              <w:t>FLEXA</w:t>
            </w:r>
            <w:r>
              <w:t xml:space="preserve"> se pro účely této pojistné smlouvy rozumí živelní pojištění sjednané pro případ poškození nebo zničení předmětu pojištění způsobené pojistným nebezpečím dle čl. II odst. 1. VPP Z 2014.</w:t>
            </w:r>
          </w:p>
        </w:tc>
      </w:tr>
      <w:tr w:rsidR="47483537" w14:paraId="48E076E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A8B2" w14:textId="77777777" w:rsidR="00E873EB" w:rsidRDefault="00581DDD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35" w14:paraId="7DF46199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63E4545" w14:textId="77777777" w:rsidR="00E873EB" w:rsidRDefault="00581DDD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33" w14:paraId="79B58BD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1C40" w14:textId="77777777" w:rsidR="00E873EB" w:rsidRDefault="00581DDD">
            <w:pPr>
              <w:pStyle w:val="smallBold"/>
            </w:pPr>
            <w:r>
              <w:t>Výše pojistného za jednotlivá pojištění činí:</w:t>
            </w:r>
          </w:p>
        </w:tc>
      </w:tr>
      <w:tr w:rsidR="47483530" w14:paraId="7A9D2AD0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C32AC6" w14:textId="77777777" w:rsidR="00E873EB" w:rsidRDefault="00E873EB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4CBC15" w14:textId="77777777" w:rsidR="00E873EB" w:rsidRDefault="00581DDD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D8366A" w14:textId="77777777" w:rsidR="00E873EB" w:rsidRDefault="00581DDD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AC509A" w14:textId="77777777" w:rsidR="00E873EB" w:rsidRDefault="00581DDD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526" w14:paraId="1C5650F4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806BF7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BBACD0E" w14:textId="77777777" w:rsidR="00E873EB" w:rsidRDefault="00581DDD">
            <w:pPr>
              <w:pStyle w:val="tableTD0"/>
              <w:keepNext/>
              <w:keepLines/>
            </w:pPr>
            <w:r>
              <w:t>Živelní 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596256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1 116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81E4552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404 812 Kč</w:t>
            </w:r>
          </w:p>
        </w:tc>
      </w:tr>
      <w:tr w:rsidR="47483521" w14:paraId="7543746E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6C6547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7616F4" w14:textId="77777777" w:rsidR="00E873EB" w:rsidRDefault="00581DDD">
            <w:pPr>
              <w:pStyle w:val="tableTD0"/>
              <w:keepNext/>
              <w:keepLines/>
            </w:pPr>
            <w:r>
              <w:t>Pojištění odcizení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5B7765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000EC5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55 227 Kč</w:t>
            </w:r>
          </w:p>
        </w:tc>
      </w:tr>
      <w:tr w:rsidR="47483516" w14:paraId="01D2F0B6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7D68A23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3.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7E2307" w14:textId="77777777" w:rsidR="00E873EB" w:rsidRDefault="00581DDD">
            <w:pPr>
              <w:pStyle w:val="tableTD0"/>
              <w:keepNext/>
              <w:keepLines/>
            </w:pPr>
            <w:r>
              <w:t>Pojištění elektronických zařízení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1293DE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BF7AB3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37 194 Kč</w:t>
            </w:r>
          </w:p>
        </w:tc>
      </w:tr>
      <w:tr w:rsidR="47483511" w14:paraId="64B287A4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6914C4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4.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4E61D9" w14:textId="77777777" w:rsidR="00E873EB" w:rsidRDefault="00581DDD">
            <w:pPr>
              <w:pStyle w:val="tableTD0"/>
              <w:keepNext/>
              <w:keepLines/>
            </w:pPr>
            <w:r>
              <w:t>Pojištění přepravovaného nákladu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0C869E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952B7F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13 676 Kč</w:t>
            </w:r>
          </w:p>
        </w:tc>
      </w:tr>
      <w:tr w:rsidR="47483506" w14:paraId="7CCE371F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0A9CFC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35336F" w14:textId="77777777" w:rsidR="00E873EB" w:rsidRDefault="00581DDD">
            <w:pPr>
              <w:pStyle w:val="tableTD0"/>
              <w:keepNext/>
              <w:keepLines/>
            </w:pPr>
            <w:r>
              <w:t>Pojištění odpovědnosti za újmu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02F287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1F10A5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t>38 860 Kč</w:t>
            </w:r>
          </w:p>
        </w:tc>
      </w:tr>
      <w:tr w:rsidR="47483501" w14:paraId="58928537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8E69" w14:textId="77777777" w:rsidR="00E873EB" w:rsidRDefault="00E873EB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1D26" w14:textId="77777777" w:rsidR="00E873EB" w:rsidRDefault="00E873EB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0DD2" w14:textId="77777777" w:rsidR="00E873EB" w:rsidRDefault="00E873EB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3B61" w14:textId="77777777" w:rsidR="00E873EB" w:rsidRDefault="00E873EB">
            <w:pPr>
              <w:pStyle w:val="EMPTYCELLSTYLE"/>
              <w:keepNext/>
            </w:pP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61EF72" w14:textId="77777777" w:rsidR="00E873EB" w:rsidRDefault="00581DDD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2BE83E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1 116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7967DD" w14:textId="77777777" w:rsidR="00E873EB" w:rsidRDefault="00581DD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549 771 Kč</w:t>
            </w:r>
          </w:p>
        </w:tc>
      </w:tr>
      <w:tr w:rsidR="47483497" w14:paraId="07FEF4FF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799B" w14:textId="77777777" w:rsidR="00E873EB" w:rsidRDefault="00E873EB">
            <w:pPr>
              <w:pStyle w:val="zarovnaniSNasledujicim0"/>
              <w:keepNext/>
              <w:keepLines/>
            </w:pPr>
          </w:p>
        </w:tc>
      </w:tr>
      <w:tr w:rsidR="47483495" w14:paraId="1830852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8B44" w14:textId="77777777" w:rsidR="00E873EB" w:rsidRDefault="00581DDD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87" w14:paraId="14F6C27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D2CD" w14:textId="77777777" w:rsidR="00E873EB" w:rsidRDefault="00581DDD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83" w14:paraId="5F19E368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075A" w14:textId="77777777" w:rsidR="00E873EB" w:rsidRDefault="00581DDD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79" w14:paraId="53C01DB5" w14:textId="77777777">
        <w:tc>
          <w:tcPr>
            <w:tcW w:w="9100" w:type="dxa"/>
            <w:gridSpan w:val="18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F334" w14:textId="77777777" w:rsidR="00E873EB" w:rsidRDefault="00E873EB">
            <w:pPr>
              <w:pStyle w:val="EMPTYCELLSTYLE"/>
            </w:pPr>
          </w:p>
        </w:tc>
      </w:tr>
      <w:tr w:rsidR="47483477" w14:paraId="218E5684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8080" w14:textId="77777777" w:rsidR="00E873EB" w:rsidRDefault="00581DDD">
            <w:pPr>
              <w:pStyle w:val="nadpisPojistneSplatkovyKalendar"/>
            </w:pPr>
            <w:r>
              <w:t>Splátkový kalendář</w:t>
            </w:r>
          </w:p>
        </w:tc>
      </w:tr>
      <w:tr w:rsidR="47483475" w14:paraId="6065C2E4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B947" w14:textId="77777777" w:rsidR="00E873EB" w:rsidRDefault="00581DDD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01.08.2022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468" w14:paraId="4AEE44C4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F28676" w14:textId="77777777" w:rsidR="00E873EB" w:rsidRDefault="00581DDD">
            <w:pPr>
              <w:pStyle w:val="tableTHbold0"/>
              <w:keepNext/>
              <w:keepLines/>
            </w:pPr>
            <w:r>
              <w:lastRenderedPageBreak/>
              <w:t>Datum splátky pojistného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1D2A59" w14:textId="77777777" w:rsidR="00E873EB" w:rsidRDefault="00581DD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465" w14:paraId="71A5FB95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E207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01.08.2021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03AE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462" w14:paraId="3F9FF0D0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6703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01.11.2021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9683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459" w14:paraId="518D0394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3181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01.02.2022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08D1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456" w14:paraId="578812A1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33D0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01.05.2022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6D62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453" w14:paraId="146ABDAB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9603" w14:textId="77777777" w:rsidR="00E873EB" w:rsidRDefault="00E873EB">
            <w:pPr>
              <w:pStyle w:val="beznyText"/>
            </w:pPr>
          </w:p>
        </w:tc>
      </w:tr>
      <w:tr w:rsidR="47483452" w14:paraId="04626119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1506" w14:textId="77777777" w:rsidR="00E873EB" w:rsidRDefault="00581DDD">
            <w:pPr>
              <w:pStyle w:val="beznyText"/>
            </w:pPr>
            <w:r>
              <w:t>Pojistné poukáže pojistník na účet Eurovalley s.r.o.</w:t>
            </w:r>
          </w:p>
        </w:tc>
      </w:tr>
      <w:tr w:rsidR="47483450" w14:paraId="52B4D4B1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AE5C" w14:textId="77777777" w:rsidR="00E873EB" w:rsidRDefault="00581DDD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333335028/2010</w:t>
            </w:r>
          </w:p>
        </w:tc>
      </w:tr>
      <w:tr w:rsidR="47483447" w14:paraId="6B6F5E26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58E6" w14:textId="77777777" w:rsidR="00E873EB" w:rsidRDefault="00581DDD">
            <w:pPr>
              <w:pStyle w:val="beznyText"/>
            </w:pPr>
            <w:r>
              <w:t>konstantní symbol 3558,</w:t>
            </w:r>
          </w:p>
        </w:tc>
      </w:tr>
      <w:tr w:rsidR="47483445" w14:paraId="66F051F6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B58B" w14:textId="77777777" w:rsidR="00E873EB" w:rsidRDefault="00581DD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8073624012</w:t>
            </w:r>
          </w:p>
        </w:tc>
      </w:tr>
      <w:tr w:rsidR="47483442" w14:paraId="0E265043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3A9C" w14:textId="77777777" w:rsidR="00E873EB" w:rsidRDefault="00581DDD">
            <w:pPr>
              <w:pStyle w:val="beznyText"/>
            </w:pPr>
            <w:r>
              <w:t>Pojistné se považuje za uhrazené dnem připsání na účet Eurovalley s.r.o.</w:t>
            </w:r>
          </w:p>
        </w:tc>
      </w:tr>
      <w:tr w:rsidR="47483439" w14:paraId="66E10543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C8CB" w14:textId="77777777" w:rsidR="00E873EB" w:rsidRDefault="00581DDD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437" w14:paraId="7BAE6AF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BC5F" w14:textId="77777777" w:rsidR="00E873EB" w:rsidRDefault="00581DDD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435" w14:paraId="5D23C90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797E" w14:textId="77777777" w:rsidR="00E873EB" w:rsidRDefault="00581DDD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432" w14:paraId="140ED96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5E9F" w14:textId="77777777" w:rsidR="00E873EB" w:rsidRDefault="00581DDD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429" w14:paraId="14C53C5F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E2A9" w14:textId="77777777" w:rsidR="00E873EB" w:rsidRDefault="00581DDD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427" w14:paraId="2632CCD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DA9CD38" w14:textId="77777777" w:rsidR="00E873EB" w:rsidRDefault="00581DDD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424" w14:paraId="1D2B121F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1260" w14:textId="77777777" w:rsidR="00E873EB" w:rsidRDefault="00581DDD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9E2D" w14:textId="77777777" w:rsidR="00E873EB" w:rsidRDefault="00581DDD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01.08.2021</w:t>
            </w:r>
          </w:p>
        </w:tc>
      </w:tr>
      <w:tr w:rsidR="47483420" w14:paraId="4A007139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E6B6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977B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087A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EC09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0C8F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8405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84E3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E6D6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6892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9829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1EC2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C55A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F579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EC64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6C1B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0EFD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EF2E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8782" w14:textId="77777777" w:rsidR="00E873EB" w:rsidRDefault="00E873EB">
            <w:pPr>
              <w:pStyle w:val="EMPTYCELLSTYLE"/>
            </w:pPr>
          </w:p>
        </w:tc>
      </w:tr>
      <w:tr w:rsidR="47483419" w14:paraId="0083225F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803C" w14:textId="77777777" w:rsidR="00E873EB" w:rsidRDefault="00581DDD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402F" w14:textId="77777777" w:rsidR="00E873EB" w:rsidRDefault="00581DDD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416" w14:paraId="2E2E6787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3B14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06493A53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424F28BE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</w:tcPr>
          <w:p w14:paraId="71DAC967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</w:tcPr>
          <w:p w14:paraId="716D6016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</w:tcPr>
          <w:p w14:paraId="0C0C2CF3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</w:tcPr>
          <w:p w14:paraId="4A250A9E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</w:tcPr>
          <w:p w14:paraId="0A152CEA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</w:tcPr>
          <w:p w14:paraId="6968B47E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</w:tcPr>
          <w:p w14:paraId="70E13B68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</w:tcPr>
          <w:p w14:paraId="0BB10BBB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221BBDA8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</w:tcPr>
          <w:p w14:paraId="1D479CC4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</w:tcPr>
          <w:p w14:paraId="5F55D0A9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</w:tcPr>
          <w:p w14:paraId="7A32CBD7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</w:tcPr>
          <w:p w14:paraId="09C2FF41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</w:tcPr>
          <w:p w14:paraId="18C715BD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</w:tcPr>
          <w:p w14:paraId="2899C52F" w14:textId="77777777" w:rsidR="00E873EB" w:rsidRDefault="00E873EB">
            <w:pPr>
              <w:pStyle w:val="EMPTYCELLSTYLE"/>
            </w:pPr>
          </w:p>
        </w:tc>
      </w:tr>
      <w:tr w:rsidR="47483414" w14:paraId="37D6323D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7C83" w14:textId="77777777" w:rsidR="00E873EB" w:rsidRDefault="00581DDD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7898" w14:textId="77777777" w:rsidR="00E873EB" w:rsidRDefault="00581DDD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410" w14:paraId="2391316C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31E4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C899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8E71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5E71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E347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E68B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54D6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76C6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6C63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DF5E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E4FB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1DC5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C4F8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0CA0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2840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D5B9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F611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DE8A" w14:textId="77777777" w:rsidR="00E873EB" w:rsidRDefault="00E873EB">
            <w:pPr>
              <w:pStyle w:val="EMPTYCELLSTYLE"/>
            </w:pPr>
          </w:p>
        </w:tc>
      </w:tr>
      <w:tr w:rsidR="47483409" w14:paraId="62FF3072" w14:textId="77777777">
        <w:tc>
          <w:tcPr>
            <w:tcW w:w="300" w:type="dxa"/>
          </w:tcPr>
          <w:p w14:paraId="1421B52F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6C308159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1BDF12CB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B91B" w14:textId="77777777" w:rsidR="00E873EB" w:rsidRDefault="00581DD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25F6" w14:textId="77777777" w:rsidR="00E873EB" w:rsidRDefault="00581DDD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406" w14:paraId="7747FA0B" w14:textId="77777777">
        <w:tc>
          <w:tcPr>
            <w:tcW w:w="300" w:type="dxa"/>
          </w:tcPr>
          <w:p w14:paraId="72F27CB2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5BA6BF75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270BE304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DF6E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43AC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E69E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F9AB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C66D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0B02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032D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98B5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3CE8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725D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2AB5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422F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1FC82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F5BF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7728" w14:textId="77777777" w:rsidR="00E873EB" w:rsidRDefault="00E873EB">
            <w:pPr>
              <w:pStyle w:val="EMPTYCELLSTYLE"/>
            </w:pPr>
          </w:p>
        </w:tc>
      </w:tr>
      <w:tr w:rsidR="47483405" w14:paraId="248F6852" w14:textId="77777777">
        <w:tc>
          <w:tcPr>
            <w:tcW w:w="300" w:type="dxa"/>
          </w:tcPr>
          <w:p w14:paraId="1F5060E6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69A2166B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0A42EFED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FD89" w14:textId="77777777" w:rsidR="00E873EB" w:rsidRDefault="00581DDD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5193" w14:textId="77777777" w:rsidR="00E873EB" w:rsidRDefault="00581DDD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02" w14:paraId="00AEC8EF" w14:textId="77777777">
        <w:tc>
          <w:tcPr>
            <w:tcW w:w="300" w:type="dxa"/>
          </w:tcPr>
          <w:p w14:paraId="2CA1C544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55199360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5137A344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35ED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B736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84F5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8BE3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57FB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3430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06F5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9F98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8C13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6023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F122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F9E10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9744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E22C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7CFD" w14:textId="77777777" w:rsidR="00E873EB" w:rsidRDefault="00E873EB">
            <w:pPr>
              <w:pStyle w:val="EMPTYCELLSTYLE"/>
            </w:pPr>
          </w:p>
        </w:tc>
      </w:tr>
      <w:tr w:rsidR="47483401" w14:paraId="493CA69E" w14:textId="77777777">
        <w:tc>
          <w:tcPr>
            <w:tcW w:w="300" w:type="dxa"/>
          </w:tcPr>
          <w:p w14:paraId="4C5F363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7BAEC692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7B04D35C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683C" w14:textId="77777777" w:rsidR="00E873EB" w:rsidRDefault="00581DDD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8A5C" w14:textId="77777777" w:rsidR="00E873EB" w:rsidRDefault="00581DDD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98" w14:paraId="33A32086" w14:textId="77777777">
        <w:tc>
          <w:tcPr>
            <w:tcW w:w="300" w:type="dxa"/>
          </w:tcPr>
          <w:p w14:paraId="36D0D8E7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051DF95A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69F3A698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F833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9458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C950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D7A3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25F6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2C7A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2F0E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0F84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164B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FED4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0514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7FA0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C8D0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8312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32A" w14:textId="77777777" w:rsidR="00E873EB" w:rsidRDefault="00E873EB">
            <w:pPr>
              <w:pStyle w:val="EMPTYCELLSTYLE"/>
            </w:pPr>
          </w:p>
        </w:tc>
      </w:tr>
      <w:tr w:rsidR="47483397" w14:paraId="0EC0FDDA" w14:textId="77777777">
        <w:tc>
          <w:tcPr>
            <w:tcW w:w="300" w:type="dxa"/>
          </w:tcPr>
          <w:p w14:paraId="14238C59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32CBF9BD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5638A578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D651" w14:textId="77777777" w:rsidR="00E873EB" w:rsidRDefault="00581DDD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C695" w14:textId="77777777" w:rsidR="00E873EB" w:rsidRDefault="00581DDD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394" w14:paraId="4E1AE84F" w14:textId="77777777">
        <w:tc>
          <w:tcPr>
            <w:tcW w:w="300" w:type="dxa"/>
          </w:tcPr>
          <w:p w14:paraId="1CD73EC2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088F528D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7D5E95EE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B9D5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E949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653E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DF8D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10DF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FD2D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69BC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2897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F3C9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3213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C464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00BA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B597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2969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8CE4" w14:textId="77777777" w:rsidR="00E873EB" w:rsidRDefault="00E873EB">
            <w:pPr>
              <w:pStyle w:val="EMPTYCELLSTYLE"/>
            </w:pPr>
          </w:p>
        </w:tc>
      </w:tr>
      <w:tr w:rsidR="47483392" w14:paraId="5D922BB2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0499" w14:textId="77777777" w:rsidR="00E873EB" w:rsidRDefault="00581DDD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62FB" w14:textId="77777777" w:rsidR="00E873EB" w:rsidRDefault="00581DDD">
            <w:pPr>
              <w:pStyle w:val="beznyText"/>
            </w:pPr>
            <w:r>
              <w:t>Prohlašuji a svým podpisem níže stvrzuji, že:</w:t>
            </w:r>
          </w:p>
        </w:tc>
      </w:tr>
      <w:tr w:rsidR="47483389" w14:paraId="6D0B49A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36D0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99A9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C8E7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1DF6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2A42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C8D1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E585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193A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68DED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9E5B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DA0F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327D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B25C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622A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D114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D4B8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5244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AFC1" w14:textId="77777777" w:rsidR="00E873EB" w:rsidRDefault="00E873EB">
            <w:pPr>
              <w:pStyle w:val="EMPTYCELLSTYLE"/>
            </w:pPr>
          </w:p>
        </w:tc>
      </w:tr>
      <w:tr w:rsidR="47483388" w14:paraId="29B4672D" w14:textId="77777777">
        <w:tc>
          <w:tcPr>
            <w:tcW w:w="300" w:type="dxa"/>
          </w:tcPr>
          <w:p w14:paraId="6515F4B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165926E9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75366EBD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4E68" w14:textId="77777777" w:rsidR="00E873EB" w:rsidRDefault="00581DD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CE76" w14:textId="77777777" w:rsidR="00E873EB" w:rsidRDefault="00581DDD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385" w14:paraId="439C8709" w14:textId="77777777">
        <w:tc>
          <w:tcPr>
            <w:tcW w:w="300" w:type="dxa"/>
          </w:tcPr>
          <w:p w14:paraId="08E6E8D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1D7E47A2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108EE40D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842A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1700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2961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2190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7B69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4CC6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3BD9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A73C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7381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D303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E7F0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D7D4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9A64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8E8D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7A3E" w14:textId="77777777" w:rsidR="00E873EB" w:rsidRDefault="00E873EB">
            <w:pPr>
              <w:pStyle w:val="EMPTYCELLSTYLE"/>
            </w:pPr>
          </w:p>
        </w:tc>
      </w:tr>
      <w:tr w:rsidR="47483384" w14:paraId="55ED0864" w14:textId="77777777">
        <w:tc>
          <w:tcPr>
            <w:tcW w:w="300" w:type="dxa"/>
          </w:tcPr>
          <w:p w14:paraId="66F532A4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67A4BDA1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360BB396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631F" w14:textId="77777777" w:rsidR="00E873EB" w:rsidRDefault="00581DDD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901A" w14:textId="77777777" w:rsidR="00E873EB" w:rsidRDefault="00581DDD">
            <w:pPr>
              <w:pStyle w:val="textNormalBlokB90"/>
            </w:pPr>
            <w:r>
              <w:t xml:space="preserve">jsem byl před uzavřením této pojistné smlouvy podrobně seznámen se všemi vybranými ustanoveními pojistných podmínek zvlášť uvedenými v dokumentu „Infolist produktu“, která by mohla být považována za </w:t>
            </w:r>
            <w:r>
              <w:lastRenderedPageBreak/>
              <w:t>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381" w14:paraId="1ED29E9E" w14:textId="77777777">
        <w:tc>
          <w:tcPr>
            <w:tcW w:w="300" w:type="dxa"/>
          </w:tcPr>
          <w:p w14:paraId="0167C118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04676441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0D7DBD60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CDD9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BA5A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0DC7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412B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D91A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830D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63F1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BC57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1A65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3E6E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BC1A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2FDA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9916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A122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5B68" w14:textId="77777777" w:rsidR="00E873EB" w:rsidRDefault="00E873EB">
            <w:pPr>
              <w:pStyle w:val="EMPTYCELLSTYLE"/>
            </w:pPr>
          </w:p>
        </w:tc>
      </w:tr>
      <w:tr w:rsidR="47483380" w14:paraId="6BC0819D" w14:textId="77777777">
        <w:tc>
          <w:tcPr>
            <w:tcW w:w="300" w:type="dxa"/>
          </w:tcPr>
          <w:p w14:paraId="111BD437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73A8FA06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348CB34A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E225" w14:textId="77777777" w:rsidR="00E873EB" w:rsidRDefault="00581DDD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6B20" w14:textId="77777777" w:rsidR="00E873EB" w:rsidRDefault="00581DDD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77" w14:paraId="5CAD71DE" w14:textId="77777777">
        <w:tc>
          <w:tcPr>
            <w:tcW w:w="300" w:type="dxa"/>
          </w:tcPr>
          <w:p w14:paraId="53395FD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5B1DB176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1D2DE239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5CD5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0CBB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21FE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1917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6A7B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FCCC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11BA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CA77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EC0F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EB119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E805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DCC9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E41C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DEE4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86B5" w14:textId="77777777" w:rsidR="00E873EB" w:rsidRDefault="00E873EB">
            <w:pPr>
              <w:pStyle w:val="EMPTYCELLSTYLE"/>
            </w:pPr>
          </w:p>
        </w:tc>
      </w:tr>
      <w:tr w:rsidR="47483376" w14:paraId="3814213C" w14:textId="77777777">
        <w:tc>
          <w:tcPr>
            <w:tcW w:w="300" w:type="dxa"/>
          </w:tcPr>
          <w:p w14:paraId="04F6409F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7619C79C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560BA02F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64D" w14:textId="77777777" w:rsidR="00E873EB" w:rsidRDefault="00581DDD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38AC" w14:textId="77777777" w:rsidR="00E873EB" w:rsidRDefault="00581DDD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373" w14:paraId="22466FAC" w14:textId="77777777">
        <w:tc>
          <w:tcPr>
            <w:tcW w:w="300" w:type="dxa"/>
          </w:tcPr>
          <w:p w14:paraId="774BD349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32F58537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100465D3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1723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5821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CF97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B963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C32A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DE93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8FB5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F895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4032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B6B9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BB02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39D5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6EC1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BBCD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9193" w14:textId="77777777" w:rsidR="00E873EB" w:rsidRDefault="00E873EB">
            <w:pPr>
              <w:pStyle w:val="EMPTYCELLSTYLE"/>
            </w:pPr>
          </w:p>
        </w:tc>
      </w:tr>
      <w:tr w:rsidR="47483372" w14:paraId="2A24739C" w14:textId="77777777">
        <w:tc>
          <w:tcPr>
            <w:tcW w:w="300" w:type="dxa"/>
          </w:tcPr>
          <w:p w14:paraId="0336E6F7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6C473E29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0428A017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39D8" w14:textId="77777777" w:rsidR="00E873EB" w:rsidRDefault="00581DDD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E2BD" w14:textId="77777777" w:rsidR="00E873EB" w:rsidRDefault="00581DDD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369" w14:paraId="37BBA621" w14:textId="77777777">
        <w:tc>
          <w:tcPr>
            <w:tcW w:w="300" w:type="dxa"/>
          </w:tcPr>
          <w:p w14:paraId="5373E064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1F74496D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4B31A00E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2189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668D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0AA3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D9C5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2A24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7D2C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CF82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95DB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AE0D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0B1A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D13D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077A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7F87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3E54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EB1F" w14:textId="77777777" w:rsidR="00E873EB" w:rsidRDefault="00E873EB">
            <w:pPr>
              <w:pStyle w:val="EMPTYCELLSTYLE"/>
            </w:pPr>
          </w:p>
        </w:tc>
      </w:tr>
      <w:tr w:rsidR="47483368" w14:paraId="2A786BB0" w14:textId="77777777">
        <w:tc>
          <w:tcPr>
            <w:tcW w:w="300" w:type="dxa"/>
          </w:tcPr>
          <w:p w14:paraId="34E11DBA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3B3E3BF7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5D8F52F0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A3B7" w14:textId="77777777" w:rsidR="00E873EB" w:rsidRDefault="00581DDD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9E37" w14:textId="77777777" w:rsidR="00E873EB" w:rsidRDefault="00581DDD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365" w14:paraId="5BFFD324" w14:textId="77777777">
        <w:tc>
          <w:tcPr>
            <w:tcW w:w="300" w:type="dxa"/>
          </w:tcPr>
          <w:p w14:paraId="68C8124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5E714737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3AC5EFA2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EDD8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6910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4C61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4D63E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DA6B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292B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187B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19EC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5AA8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DCD6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D6AF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C25B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DB2D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1713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29EA" w14:textId="77777777" w:rsidR="00E873EB" w:rsidRDefault="00E873EB">
            <w:pPr>
              <w:pStyle w:val="EMPTYCELLSTYLE"/>
            </w:pPr>
          </w:p>
        </w:tc>
      </w:tr>
      <w:tr w:rsidR="47483364" w14:paraId="44CC163E" w14:textId="77777777">
        <w:tc>
          <w:tcPr>
            <w:tcW w:w="300" w:type="dxa"/>
          </w:tcPr>
          <w:p w14:paraId="005403D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32232671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09869BC4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607C" w14:textId="77777777" w:rsidR="00E873EB" w:rsidRDefault="00581DDD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23F4" w14:textId="77777777" w:rsidR="00E873EB" w:rsidRDefault="00581DDD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361" w14:paraId="2594C4EA" w14:textId="77777777">
        <w:tc>
          <w:tcPr>
            <w:tcW w:w="300" w:type="dxa"/>
          </w:tcPr>
          <w:p w14:paraId="647E10C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535599D9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15FBFC97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EFC3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13EA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A618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8F07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F51B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E67F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803D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5F6E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CC70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B77B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DEE0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EE26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F92E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173B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EAC8" w14:textId="77777777" w:rsidR="00E873EB" w:rsidRDefault="00E873EB">
            <w:pPr>
              <w:pStyle w:val="EMPTYCELLSTYLE"/>
            </w:pPr>
          </w:p>
        </w:tc>
      </w:tr>
      <w:tr w:rsidR="47483360" w14:paraId="199BDA5A" w14:textId="77777777">
        <w:tc>
          <w:tcPr>
            <w:tcW w:w="300" w:type="dxa"/>
          </w:tcPr>
          <w:p w14:paraId="5752F8B5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251C1E55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42C46FE8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E6A2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960A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D885" w14:textId="77777777" w:rsidR="00E873EB" w:rsidRDefault="00581DD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4CD1" w14:textId="77777777" w:rsidR="00E873EB" w:rsidRDefault="00581DDD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357" w14:paraId="13F30F2F" w14:textId="77777777">
        <w:tc>
          <w:tcPr>
            <w:tcW w:w="300" w:type="dxa"/>
          </w:tcPr>
          <w:p w14:paraId="0B145BE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27158E85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01095E9C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356D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7DA0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3F10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1DC9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5ABE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E2A1B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1212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0238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1BB2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7771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2CF3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4CB4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7AD8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880F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8E40" w14:textId="77777777" w:rsidR="00E873EB" w:rsidRDefault="00E873EB">
            <w:pPr>
              <w:pStyle w:val="EMPTYCELLSTYLE"/>
            </w:pPr>
          </w:p>
        </w:tc>
      </w:tr>
      <w:tr w:rsidR="47483356" w14:paraId="6AE9C6CA" w14:textId="77777777">
        <w:tc>
          <w:tcPr>
            <w:tcW w:w="300" w:type="dxa"/>
          </w:tcPr>
          <w:p w14:paraId="6E9A4122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2EC1A4FF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55E396FD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4546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4E57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5D7C" w14:textId="77777777" w:rsidR="00E873EB" w:rsidRDefault="00581DD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3DE1" w14:textId="77777777" w:rsidR="00E873EB" w:rsidRDefault="00581DDD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353" w14:paraId="0E7315AF" w14:textId="77777777">
        <w:tc>
          <w:tcPr>
            <w:tcW w:w="300" w:type="dxa"/>
          </w:tcPr>
          <w:p w14:paraId="257C1C5C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</w:tcPr>
          <w:p w14:paraId="2558BB55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</w:tcPr>
          <w:p w14:paraId="58177169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B891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49F8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B13E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84FE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EC93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9740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2F8B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B14D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AD96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52CC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26F6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96D1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9588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78CC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DD49" w14:textId="77777777" w:rsidR="00E873EB" w:rsidRDefault="00E873EB">
            <w:pPr>
              <w:pStyle w:val="EMPTYCELLSTYLE"/>
            </w:pPr>
          </w:p>
        </w:tc>
      </w:tr>
      <w:tr w:rsidR="47483350" w14:paraId="309E32AF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9E15" w14:textId="77777777" w:rsidR="00E873EB" w:rsidRDefault="00581DDD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7EB8" w14:textId="77777777" w:rsidR="00E873EB" w:rsidRDefault="00581DDD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347" w14:paraId="3462350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353F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8B48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F104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1893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6504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2B56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56D7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2C5A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6603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81D1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0B29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14BD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5F44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8DEB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C3E85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5F77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287A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BEC4" w14:textId="77777777" w:rsidR="00E873EB" w:rsidRDefault="00E873EB">
            <w:pPr>
              <w:pStyle w:val="EMPTYCELLSTYLE"/>
            </w:pPr>
          </w:p>
        </w:tc>
      </w:tr>
      <w:tr w:rsidR="47483346" w14:paraId="5D7813A5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2C00" w14:textId="77777777" w:rsidR="00E873EB" w:rsidRDefault="00581DDD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BE2A" w14:textId="77777777" w:rsidR="00E873EB" w:rsidRDefault="00581DDD">
            <w:pPr>
              <w:pStyle w:val="textNormalB9"/>
            </w:pPr>
            <w:r>
              <w:t>Správce pojistné smlouvy: Ing. Martina Pospíšilová</w:t>
            </w:r>
          </w:p>
        </w:tc>
      </w:tr>
      <w:tr w:rsidR="47483343" w14:paraId="74DF3D75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783B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60BA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8BA0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3A9C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696F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9D6B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E065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6A51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8749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B789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EF9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5DA0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95B2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ADF2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066A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E0C2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3A8E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4FC0" w14:textId="77777777" w:rsidR="00E873EB" w:rsidRDefault="00E873EB">
            <w:pPr>
              <w:pStyle w:val="EMPTYCELLSTYLE"/>
            </w:pPr>
          </w:p>
        </w:tc>
      </w:tr>
      <w:tr w:rsidR="47483342" w14:paraId="5E143EE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A100" w14:textId="77777777" w:rsidR="00E873EB" w:rsidRDefault="00581DDD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3B45" w14:textId="77777777" w:rsidR="00E873EB" w:rsidRDefault="00581DDD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775F" w14:textId="49913845" w:rsidR="00E873EB" w:rsidRDefault="00581DDD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47483339" w14:paraId="600F9F8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9B2E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1D70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107B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FA68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1256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740B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74C8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EBA2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6A90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F72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EDB0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212D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8394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A280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EB41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05E3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B73F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C74C" w14:textId="77777777" w:rsidR="00E873EB" w:rsidRDefault="00E873EB">
            <w:pPr>
              <w:pStyle w:val="EMPTYCELLSTYLE"/>
            </w:pPr>
          </w:p>
        </w:tc>
      </w:tr>
      <w:tr w:rsidR="47483338" w14:paraId="2BAE3C4D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CD9E" w14:textId="77777777" w:rsidR="00E873EB" w:rsidRDefault="00581DDD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FC7D" w14:textId="77777777" w:rsidR="00E873EB" w:rsidRDefault="00581DDD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335" w14:paraId="1143D52C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173C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3AA7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FB0C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E827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167B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3F54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60C4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2494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38C1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08AC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900B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BC80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77C7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021C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A68B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E914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8227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DC7E" w14:textId="77777777" w:rsidR="00E873EB" w:rsidRDefault="00E873EB">
            <w:pPr>
              <w:pStyle w:val="EMPTYCELLSTYLE"/>
            </w:pPr>
          </w:p>
        </w:tc>
      </w:tr>
      <w:tr w:rsidR="47483334" w14:paraId="4D5E0EF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B526" w14:textId="77777777" w:rsidR="00E873EB" w:rsidRDefault="00581DDD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6D89" w14:textId="77777777" w:rsidR="00E873EB" w:rsidRDefault="00581DDD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331" w14:paraId="3B822E2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E12B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FF9F" w14:textId="77777777" w:rsidR="00E873EB" w:rsidRDefault="00E873EB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37CD" w14:textId="77777777" w:rsidR="00E873EB" w:rsidRDefault="00E873EB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806C" w14:textId="77777777" w:rsidR="00E873EB" w:rsidRDefault="00E873EB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9DFA" w14:textId="77777777" w:rsidR="00E873EB" w:rsidRDefault="00E873EB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6B7E" w14:textId="77777777" w:rsidR="00E873EB" w:rsidRDefault="00E873EB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9B4A" w14:textId="77777777" w:rsidR="00E873EB" w:rsidRDefault="00E873EB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298B" w14:textId="77777777" w:rsidR="00E873EB" w:rsidRDefault="00E873E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9429" w14:textId="77777777" w:rsidR="00E873EB" w:rsidRDefault="00E873EB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BA7E" w14:textId="77777777" w:rsidR="00E873EB" w:rsidRDefault="00E873EB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4631" w14:textId="77777777" w:rsidR="00E873EB" w:rsidRDefault="00E873EB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BE83" w14:textId="77777777" w:rsidR="00E873EB" w:rsidRDefault="00E873EB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72F7" w14:textId="77777777" w:rsidR="00E873EB" w:rsidRDefault="00E873EB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6397" w14:textId="77777777" w:rsidR="00E873EB" w:rsidRDefault="00E873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8D57" w14:textId="77777777" w:rsidR="00E873EB" w:rsidRDefault="00E873EB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3B9D" w14:textId="77777777" w:rsidR="00E873EB" w:rsidRDefault="00E873EB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D49" w14:textId="77777777" w:rsidR="00E873EB" w:rsidRDefault="00E873EB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EE6" w14:textId="77777777" w:rsidR="00E873EB" w:rsidRDefault="00E873EB">
            <w:pPr>
              <w:pStyle w:val="EMPTYCELLSTYLE"/>
            </w:pPr>
          </w:p>
        </w:tc>
      </w:tr>
      <w:tr w:rsidR="47483329" w14:paraId="037DBBA1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BCD0" w14:textId="77777777" w:rsidR="00E873EB" w:rsidRDefault="00E873EB">
            <w:pPr>
              <w:pStyle w:val="podpisovePoleSpacer"/>
              <w:keepNext/>
              <w:keepLines/>
            </w:pPr>
          </w:p>
          <w:p w14:paraId="0C325F46" w14:textId="1A3D889D" w:rsidR="00581DDD" w:rsidRDefault="00581DDD">
            <w:pPr>
              <w:pStyle w:val="podpisovePoleSpacer"/>
              <w:keepNext/>
              <w:keepLines/>
            </w:pPr>
          </w:p>
        </w:tc>
      </w:tr>
      <w:tr w:rsidR="47483328" w14:paraId="690D2E1C" w14:textId="77777777">
        <w:trPr>
          <w:cantSplit/>
        </w:trPr>
        <w:tc>
          <w:tcPr>
            <w:tcW w:w="4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AFA3" w14:textId="36E745EC" w:rsidR="00E873EB" w:rsidRDefault="00581DDD">
            <w:pPr>
              <w:pStyle w:val="beznyText"/>
              <w:keepNext/>
              <w:keepLines/>
            </w:pPr>
            <w:r>
              <w:t xml:space="preserve">V Brně dne 21.7.2021 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B0C6" w14:textId="77777777" w:rsidR="00E873EB" w:rsidRDefault="00581DDD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181B4405" w14:textId="77777777" w:rsidR="00E873EB" w:rsidRDefault="00581DDD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324" w14:paraId="0599E21D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EED5" w14:textId="77777777" w:rsidR="00E873EB" w:rsidRDefault="00E873EB">
            <w:pPr>
              <w:pStyle w:val="podpisovePoleSpacer"/>
              <w:keepNext/>
              <w:keepLines/>
            </w:pPr>
          </w:p>
          <w:p w14:paraId="39AEE527" w14:textId="63AD9B2D" w:rsidR="00581DDD" w:rsidRDefault="00581DDD">
            <w:pPr>
              <w:pStyle w:val="podpisovePoleSpacer"/>
              <w:keepNext/>
              <w:keepLines/>
            </w:pPr>
          </w:p>
        </w:tc>
      </w:tr>
      <w:tr w:rsidR="47483323" w14:paraId="5F0538C6" w14:textId="77777777">
        <w:trPr>
          <w:cantSplit/>
        </w:trPr>
        <w:tc>
          <w:tcPr>
            <w:tcW w:w="4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16F2" w14:textId="6FEDB3D1" w:rsidR="00E873EB" w:rsidRDefault="00581DDD">
            <w:pPr>
              <w:pStyle w:val="beznyText"/>
              <w:keepNext/>
              <w:keepLines/>
            </w:pPr>
            <w:r>
              <w:t>V Brně dne 21.7.2021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4CC2" w14:textId="77777777" w:rsidR="00E873EB" w:rsidRDefault="00581DDD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69A7848" w14:textId="77777777" w:rsidR="00E873EB" w:rsidRDefault="00581DDD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19" w14:paraId="06A921CB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DCDE" w14:textId="77777777" w:rsidR="00E873EB" w:rsidRDefault="00E873EB">
            <w:pPr>
              <w:pStyle w:val="beznyText"/>
            </w:pPr>
          </w:p>
        </w:tc>
      </w:tr>
      <w:tr w:rsidR="47483317" w14:paraId="1919B604" w14:textId="77777777">
        <w:trPr>
          <w:gridAfter w:val="17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26DD" w14:textId="77777777" w:rsidR="00E873EB" w:rsidRDefault="00E873EB">
            <w:pPr>
              <w:pStyle w:val="EMPTYCELLSTYLE"/>
            </w:pPr>
          </w:p>
        </w:tc>
      </w:tr>
    </w:tbl>
    <w:p w14:paraId="0A68871B" w14:textId="77777777" w:rsidR="00E873EB" w:rsidRDefault="00E873EB">
      <w:pPr>
        <w:pStyle w:val="beznyText"/>
        <w:sectPr w:rsidR="00E87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314" w14:paraId="7DBFBEA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CD81" w14:textId="77777777" w:rsidR="00E873EB" w:rsidRDefault="00581DDD">
            <w:pPr>
              <w:pStyle w:val="nadpisSplatkovyKalendar"/>
            </w:pPr>
            <w:r>
              <w:lastRenderedPageBreak/>
              <w:t>Splátkový kalendář k dodatku č. 1 pojistné smlouvy</w:t>
            </w:r>
          </w:p>
        </w:tc>
      </w:tr>
      <w:tr w:rsidR="47483312" w14:paraId="0395AFC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0E7D" w14:textId="77777777" w:rsidR="00E873EB" w:rsidRDefault="00581DDD">
            <w:pPr>
              <w:pStyle w:val="nadpisSplatkovyKalendar"/>
            </w:pPr>
            <w:r>
              <w:t>č. 8073624012</w:t>
            </w:r>
          </w:p>
        </w:tc>
      </w:tr>
      <w:tr w:rsidR="47483310" w14:paraId="0307139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002A" w14:textId="77777777" w:rsidR="00E873EB" w:rsidRDefault="00E873EB">
            <w:pPr>
              <w:pStyle w:val="beznyText"/>
            </w:pPr>
          </w:p>
        </w:tc>
      </w:tr>
      <w:tr w:rsidR="47483309" w14:paraId="5B1E5817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6004" w14:textId="77777777" w:rsidR="00E873EB" w:rsidRDefault="00E873EB">
            <w:pPr>
              <w:pStyle w:val="EMPTYCELLSTYLE"/>
            </w:pPr>
          </w:p>
        </w:tc>
      </w:tr>
      <w:tr w:rsidR="47483308" w14:paraId="7524430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44A5" w14:textId="77777777" w:rsidR="00E873EB" w:rsidRDefault="00581DDD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01.08.2021</w:t>
            </w:r>
            <w:r>
              <w:t xml:space="preserve"> 00:00 hodin </w:t>
            </w:r>
            <w:r>
              <w:rPr>
                <w:b/>
              </w:rPr>
              <w:t>do 01.08.2022</w:t>
            </w:r>
            <w:r>
              <w:t xml:space="preserve"> 00:00 hodin.</w:t>
            </w:r>
          </w:p>
        </w:tc>
      </w:tr>
      <w:tr w:rsidR="47483302" w14:paraId="6B3381D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7D7B" w14:textId="77777777" w:rsidR="00E873EB" w:rsidRDefault="00581DDD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99" w14:paraId="38C0E200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0A059B" w14:textId="77777777" w:rsidR="00E873EB" w:rsidRDefault="00581DD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85CAC6" w14:textId="77777777" w:rsidR="00E873EB" w:rsidRDefault="00581DD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96" w14:paraId="6C6E8AD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EC32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01.08.2021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1DF7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293" w14:paraId="531AAE5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021D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01.11.2021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12BC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290" w14:paraId="5848A5F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CC45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01.02.2022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414C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287" w14:paraId="666109F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19F9" w14:textId="77777777" w:rsidR="00E873EB" w:rsidRDefault="00581DDD">
            <w:pPr>
              <w:pStyle w:val="tableTD0"/>
              <w:keepNext/>
              <w:keepLines/>
              <w:ind w:left="40"/>
            </w:pPr>
            <w:r>
              <w:t>01.05.2022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6CB4" w14:textId="77777777" w:rsidR="00E873EB" w:rsidRDefault="00581DDD">
            <w:pPr>
              <w:pStyle w:val="tableTD0"/>
              <w:keepNext/>
              <w:keepLines/>
              <w:ind w:right="40"/>
              <w:jc w:val="right"/>
            </w:pPr>
            <w:r>
              <w:t>137 442 Kč</w:t>
            </w:r>
          </w:p>
        </w:tc>
      </w:tr>
      <w:tr w:rsidR="47483284" w14:paraId="3D0C1CDA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E529" w14:textId="77777777" w:rsidR="00E873EB" w:rsidRDefault="00E873EB">
            <w:pPr>
              <w:pStyle w:val="beznyText"/>
            </w:pPr>
          </w:p>
        </w:tc>
      </w:tr>
      <w:tr w:rsidR="47483283" w14:paraId="7F97970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B190" w14:textId="77777777" w:rsidR="00E873EB" w:rsidRDefault="00581DDD">
            <w:pPr>
              <w:pStyle w:val="beznyText"/>
            </w:pPr>
            <w:r>
              <w:t>Pojistné poukáže pojistník na účet Eurovalley s.r.o.</w:t>
            </w:r>
          </w:p>
        </w:tc>
      </w:tr>
      <w:tr w:rsidR="47483281" w14:paraId="4DA7EA3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172C" w14:textId="77777777" w:rsidR="00E873EB" w:rsidRDefault="00581DDD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333335028/2010</w:t>
            </w:r>
          </w:p>
        </w:tc>
      </w:tr>
      <w:tr w:rsidR="47483278" w14:paraId="7D0E2A8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59B4" w14:textId="77777777" w:rsidR="00E873EB" w:rsidRDefault="00581DDD">
            <w:pPr>
              <w:pStyle w:val="beznyText"/>
            </w:pPr>
            <w:r>
              <w:t>konstantní symbol 3558,</w:t>
            </w:r>
          </w:p>
        </w:tc>
      </w:tr>
      <w:tr w:rsidR="47483276" w14:paraId="7F3184E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4D19" w14:textId="77777777" w:rsidR="00E873EB" w:rsidRDefault="00581DD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8073624012</w:t>
            </w:r>
          </w:p>
        </w:tc>
      </w:tr>
      <w:tr w:rsidR="47483273" w14:paraId="53B3623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B2E9" w14:textId="77777777" w:rsidR="00E873EB" w:rsidRDefault="00581DDD">
            <w:pPr>
              <w:pStyle w:val="beznyText"/>
            </w:pPr>
            <w:r>
              <w:t>Pojistné se považuje za uhrazené dnem připsání na účet Eurovalley s.r.o.</w:t>
            </w:r>
          </w:p>
        </w:tc>
      </w:tr>
      <w:tr w:rsidR="47483271" w14:paraId="3BB0022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E12A" w14:textId="77777777" w:rsidR="00E873EB" w:rsidRDefault="00E873EB">
            <w:pPr>
              <w:pStyle w:val="volnyRadekSpacer"/>
            </w:pPr>
          </w:p>
          <w:p w14:paraId="23CAF1EE" w14:textId="089CD8B9" w:rsidR="00581DDD" w:rsidRDefault="00581DDD">
            <w:pPr>
              <w:pStyle w:val="volnyRadekSpacer"/>
            </w:pPr>
          </w:p>
        </w:tc>
      </w:tr>
      <w:tr w:rsidR="47483269" w14:paraId="7F3E7905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E2C4" w14:textId="719AF712" w:rsidR="00E873EB" w:rsidRDefault="00581DDD">
            <w:pPr>
              <w:pStyle w:val="textNormal0"/>
            </w:pPr>
            <w:r>
              <w:t>V Brně dne 21.7.2021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6D6B" w14:textId="77777777" w:rsidR="00E873EB" w:rsidRDefault="00581DDD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52617125" w14:textId="77777777" w:rsidR="00E873EB" w:rsidRDefault="00581DDD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264" w14:paraId="48B4A99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BA31" w14:textId="77777777" w:rsidR="00E873EB" w:rsidRDefault="00E873EB">
            <w:pPr>
              <w:pStyle w:val="hlavickaPaticka0"/>
            </w:pPr>
          </w:p>
        </w:tc>
      </w:tr>
    </w:tbl>
    <w:p w14:paraId="55D9E941" w14:textId="77777777" w:rsidR="00E873EB" w:rsidRDefault="00E873EB">
      <w:pPr>
        <w:pStyle w:val="beznyText"/>
      </w:pPr>
      <w:bookmarkStart w:id="2" w:name="B2BBOOKMARK2"/>
      <w:bookmarkEnd w:id="2"/>
    </w:p>
    <w:sectPr w:rsidR="00E873EB">
      <w:headerReference w:type="default" r:id="rId13"/>
      <w:footerReference w:type="default" r:id="rId14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CE074" w14:textId="77777777" w:rsidR="005C5B81" w:rsidRDefault="005C5B81">
      <w:r>
        <w:separator/>
      </w:r>
    </w:p>
  </w:endnote>
  <w:endnote w:type="continuationSeparator" w:id="0">
    <w:p w14:paraId="5FC20A87" w14:textId="77777777" w:rsidR="005C5B81" w:rsidRDefault="005C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10DC" w14:textId="77777777" w:rsidR="00581DDD" w:rsidRDefault="00581D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3845" w14:textId="4466CEEC" w:rsidR="00E873EB" w:rsidRDefault="00581DDD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A035D6">
        <w:rPr>
          <w:noProof/>
        </w:rPr>
        <w:t>4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4647" w14:textId="77777777" w:rsidR="00581DDD" w:rsidRDefault="00581DD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5502" w14:textId="77777777" w:rsidR="00E873EB" w:rsidRDefault="00581DD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073D" w14:textId="77777777" w:rsidR="005C5B81" w:rsidRDefault="005C5B81">
      <w:r>
        <w:separator/>
      </w:r>
    </w:p>
  </w:footnote>
  <w:footnote w:type="continuationSeparator" w:id="0">
    <w:p w14:paraId="314E7048" w14:textId="77777777" w:rsidR="005C5B81" w:rsidRDefault="005C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5C66" w14:textId="77777777" w:rsidR="00581DDD" w:rsidRDefault="00581D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79F3" w14:textId="77777777" w:rsidR="00E873EB" w:rsidRDefault="00581DDD">
    <w:pPr>
      <w:pStyle w:val="hlavickaPaticka0"/>
    </w:pPr>
    <w:r>
      <w:t>Číslo pojistné smlouvy: 8073624012 dodatek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F9B4" w14:textId="77777777" w:rsidR="00E873EB" w:rsidRDefault="00E873EB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6A75" w14:textId="77777777" w:rsidR="00E873EB" w:rsidRDefault="00E873EB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EB"/>
    <w:rsid w:val="00581DDD"/>
    <w:rsid w:val="005C5B81"/>
    <w:rsid w:val="00A035D6"/>
    <w:rsid w:val="00E7271D"/>
    <w:rsid w:val="00E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7EA64"/>
  <w15:docId w15:val="{E3F6B51F-F108-486F-A0C6-0F0F0B1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extVykladPojmu">
    <w:name w:val="textVykladPojmu"/>
    <w:basedOn w:val="zarovnaniSNasledujicim"/>
    <w:qFormat/>
    <w:rPr>
      <w:b/>
      <w:sz w:val="20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581D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1DDD"/>
  </w:style>
  <w:style w:type="paragraph" w:styleId="Zpat">
    <w:name w:val="footer"/>
    <w:basedOn w:val="Normln"/>
    <w:link w:val="ZpatChar"/>
    <w:uiPriority w:val="99"/>
    <w:unhideWhenUsed/>
    <w:rsid w:val="00581D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Martina</dc:creator>
  <cp:lastModifiedBy>Šebestová, Eva</cp:lastModifiedBy>
  <cp:revision>2</cp:revision>
  <dcterms:created xsi:type="dcterms:W3CDTF">2021-07-27T09:25:00Z</dcterms:created>
  <dcterms:modified xsi:type="dcterms:W3CDTF">2021-07-27T09:25:00Z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2021-07-21T10:57:58Z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28a0059f-7ca8-4365-94b0-c30a4ab16bd4</vt:lpwstr>
  </property>
  <property fmtid="{D5CDD505-2E9C-101B-9397-08002B2CF9AE}" pid="8" name="MSIP_Label_03faec90-cc5a-4f20-9584-a1c4096f3391_ContentBits">
    <vt:lpwstr>0</vt:lpwstr>
  </property>
</Properties>
</file>