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008 39 027, 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: 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sídlem: Znojmo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 707/25, 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669 02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 rejst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vedeném Krajským soudem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oddíl Pr, vložka 1306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 Ing. 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 Trojanem,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80"/>
        </w:tabs>
        <w:spacing w:before="12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8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 13930741/0100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jako prodávající na 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jedné 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HOPROG, spol.s 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194, 671 5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4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25586670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1" baseline="0" dirty="0">
          <w:jc w:val="left"/>
          <w:rFonts w:ascii="Trebuchet MS" w:hAnsi="Trebuchet MS" w:cs="Trebuchet MS"/>
          <w:color w:val="000000"/>
          <w:sz w:val="21"/>
          <w:szCs w:val="21"/>
        </w:rPr>
        <w:t>CZ25586670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3381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 osoba k zastupován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 kupující na 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druhé (d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48" w:right="868" w:hanging="32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 spolu (spol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 uz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vírají níže uvedeného dne,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síce a 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ust. § 207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násl.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89/2012 Sb.,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zákoník, 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(dále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anský 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65" w:right="527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0" w:after="0" w:line="568" w:lineRule="exact"/>
        <w:ind w:left="4458" w:right="868" w:hanging="2911"/>
      </w:pPr>
      <w:r/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RÁMCOVO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U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KUPNÍ SMLOUVU</w:t>
      </w:r>
      <w:r>
        <w:rPr>
          <w:rFonts w:ascii="Times New Roman" w:hAnsi="Times New Roman" w:cs="Times New Roman"/>
          <w:sz w:val="52"/>
          <w:szCs w:val="52"/>
        </w:rPr>
        <w:t> </w:t>
      </w:r>
      <w:r>
        <w:br w:type="textWrapping" w:clear="all"/>
      </w: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. 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2/III/2021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130" w:right="424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tato 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75" w:right="538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prodávajícím odevzdán kupujícímu 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 dodávek.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tímto sjednáv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 výhradu vlastnického práva 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ívající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tom, že kupující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úplným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zaplacením kupní ceny za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dodávku a 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vystavením dodacího listu prodávajícím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Nabytím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hmotou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ívím) spojená.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vyrobena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délkách: 4,0m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 2% nadm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1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sortimen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 pásmem, a to vše dle platných objemových 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 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 použi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fakto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r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0,62.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215" w:right="5356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na následujíc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2" w:after="0" w:line="275" w:lineRule="exact"/>
        <w:ind w:left="919" w:right="-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.A/B/C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  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tvrdou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délka 2,0 a 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50 m 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92" behindDoc="0" locked="0" layoutInCell="1" allowOverlap="1">
            <wp:simplePos x="0" y="0"/>
            <wp:positionH relativeFrom="page">
              <wp:posOffset>5301995</wp:posOffset>
            </wp:positionH>
            <wp:positionV relativeFrom="paragraph">
              <wp:posOffset>175260</wp:posOffset>
            </wp:positionV>
            <wp:extent cx="433020" cy="16870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3020" cy="168707"/>
                    </a:xfrm>
                    <a:custGeom>
                      <a:rect l="l" t="t" r="r" b="b"/>
                      <a:pathLst>
                        <a:path w="433020" h="168707">
                          <a:moveTo>
                            <a:pt x="0" y="168707"/>
                          </a:moveTo>
                          <a:lnTo>
                            <a:pt x="433020" y="168707"/>
                          </a:lnTo>
                          <a:lnTo>
                            <a:pt x="4330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2,0 a 2,50 m 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III.A/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-6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listnaté tvrdé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íza,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14" w:type="dxa"/>
        <w:tblLook w:val="04A0" w:firstRow="1" w:lastRow="0" w:firstColumn="1" w:lastColumn="0" w:noHBand="0" w:noVBand="1"/>
      </w:tblPr>
      <w:tblGrid>
        <w:gridCol w:w="600"/>
      </w:tblGrid>
      <w:tr>
        <w:trPr>
          <w:trHeight w:hRule="exact" w:val="2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0" behindDoc="1" locked="0" layoutInCell="1" allowOverlap="1">
                  <wp:simplePos x="0" y="0"/>
                  <wp:positionH relativeFrom="page">
                    <wp:posOffset>381000</wp:posOffset>
                  </wp:positionH>
                  <wp:positionV relativeFrom="paragraph">
                    <wp:posOffset>6553</wp:posOffset>
                  </wp:positionV>
                  <wp:extent cx="50750" cy="168707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50" cy="168707"/>
                          </a:xfrm>
                          <a:custGeom>
                            <a:rect l="l" t="t" r="r" b="b"/>
                            <a:pathLst>
                              <a:path w="50750" h="168707">
                                <a:moveTo>
                                  <a:pt x="0" y="168707"/>
                                </a:moveTo>
                                <a:lnTo>
                                  <a:pt x="50750" y="168707"/>
                                </a:lnTo>
                                <a:lnTo>
                                  <a:pt x="5075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870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 jso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stanoveny 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prodávajícímu; ust. § 2089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 je splatná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 vystavení faktury 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5" w:lineRule="exact"/>
        <w:ind w:left="353" w:right="867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 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 do 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dne, kdy byla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kupujícím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36"/>
          <w:tab w:val="left" w:pos="6101"/>
        </w:tabs>
        <w:spacing w:before="0" w:after="0" w:line="276" w:lineRule="exact"/>
        <w:ind w:left="919" w:right="86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smluvní pokutu ve výši 0,05% z dlužné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 za každý den 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;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tím 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–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2050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01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>
        <w:drawing>
          <wp:anchor simplePos="0" relativeHeight="251658509" behindDoc="1" locked="0" layoutInCell="1" allowOverlap="1">
            <wp:simplePos x="0" y="0"/>
            <wp:positionH relativeFrom="page">
              <wp:posOffset>4598796</wp:posOffset>
            </wp:positionH>
            <wp:positionV relativeFrom="line">
              <wp:posOffset>70256</wp:posOffset>
            </wp:positionV>
            <wp:extent cx="1016889" cy="17526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6889" cy="175260"/>
                    </a:xfrm>
                    <a:custGeom>
                      <a:rect l="l" t="t" r="r" b="b"/>
                      <a:pathLst>
                        <a:path w="1016889" h="175260">
                          <a:moveTo>
                            <a:pt x="0" y="0"/>
                          </a:moveTo>
                          <a:lnTo>
                            <a:pt x="1016889" y="0"/>
                          </a:lnTo>
                          <a:lnTo>
                            <a:pt x="1016889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1.7.2021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30.9.2021.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 dohodly, že kupující je povinen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0"/>
          <w:tab w:val="left" w:pos="5945"/>
        </w:tabs>
        <w:spacing w:before="0" w:after="0" w:line="275" w:lineRule="exact"/>
        <w:ind w:left="919" w:right="867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71" behindDoc="1" locked="0" layoutInCell="1" allowOverlap="1">
            <wp:simplePos x="0" y="0"/>
            <wp:positionH relativeFrom="page">
              <wp:posOffset>3461892</wp:posOffset>
            </wp:positionH>
            <wp:positionV relativeFrom="line">
              <wp:posOffset>407</wp:posOffset>
            </wp:positionV>
            <wp:extent cx="530353" cy="17526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0353" cy="175260"/>
                    </a:xfrm>
                    <a:custGeom>
                      <a:rect l="l" t="t" r="r" b="b"/>
                      <a:pathLst>
                        <a:path w="530353" h="175260">
                          <a:moveTo>
                            <a:pt x="0" y="0"/>
                          </a:moveTo>
                          <a:lnTo>
                            <a:pt x="530353" y="0"/>
                          </a:lnTo>
                          <a:lnTo>
                            <a:pt x="530353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týden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2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elektronické pošty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  <w:tab w:val="left" w:pos="3901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apod.) 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prodávajícího; písemná forma 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použití e-mailu anebo faxu. Do doby obdržení oznámení dle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  <w:tab w:val="left" w:pos="8865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a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 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 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nakládat; ust. § 2124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7" w:after="0" w:line="39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 podle ust. § 1765 odst. 2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nebezp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okolností.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 jd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 kdy je vadné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nepodstatným porušením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právo pouze na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 slevu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3"/>
          <w:tab w:val="left" w:pos="1097"/>
          <w:tab w:val="left" w:pos="7845"/>
        </w:tabs>
        <w:spacing w:before="22" w:after="0" w:line="51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povine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prohlédnout.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3.10.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 vymezení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 vad v dodacím listu. Za jakékoli jiné zjevné vady než 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popsány v dodacím listu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neodpovídá. Nárok z 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za 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 dodacího 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1"/>
        </w:tabs>
        <w:spacing w:before="232" w:after="0" w:line="275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z objektivních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prodávajícím, 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 na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 tím vzniklé škody, ani ušlého 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89" w:right="530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 smlouvu lze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 jen na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dohody smluvních stran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 obdrží dva stejnopisy a kupující jeden 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00"/>
        </w:tabs>
        <w:spacing w:before="0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 Úmluvy OSN o smlouvách o mezinárodní koupi zboží, pokud by se jinak 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povaze Smluvních stran aplikovala, je 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 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 jejích dodatk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související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6" w:lineRule="exact"/>
        <w:ind w:left="353" w:right="872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 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 soudu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sídla 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 republic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3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2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a 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a které považují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po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nesmí být vyklád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v rozporu s 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 a nezakládá žádný závazek žádné ze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aby nad rámec výslovných ustanovení této smlouvy byla 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v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sjednáno jinak.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Vedle shora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 že si nejsou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žádných dosud mezi nimi zaved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obchodních zvyklostí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tuto smlouvu: ust. § 557 (pravidlo contra proferentem), ust. §§ 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1800 (doložky v adhezních smlouvách) a ust. § 1805 odst. 2 (zákaz ultra 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4.11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ve smyslu ust. § 63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 1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ecí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tak, že práva vyplývající z této 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 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porušení, pop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práva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smlouvou jakkoliv související, se 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 let 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 kdy právo mohlo bý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 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4.13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dohodly, že kupující je 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 úroky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 se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z ustanoven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této smlouvy neplatným, posoudí se vliv této vady na 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této smlouvy došlo i bez neplatné (resp. zdánlivé)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smluv podle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340/2015 Sb.,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 tímto 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ním 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 smlouvy do registr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 podpis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4.16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prohlašují, že tuto smlouvu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svobodn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vážn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vzájemné 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souhlasí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což potvrzují svými 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ipojenými 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 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Znojm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1.7.2021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00"/>
        </w:tabs>
        <w:spacing w:before="28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401"/>
        </w:tabs>
        <w:spacing w:before="0" w:after="0" w:line="276" w:lineRule="exact"/>
        <w:ind w:left="353" w:right="899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          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3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Ing. Zden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Trojan,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2021-07-27T08:13:01Z</dcterms:created>
  <dcterms:modified xsi:type="dcterms:W3CDTF">2021-07-27T08:13:01Z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