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rStyle w:val="CharStyle5"/>
          <w:smallCaps/>
        </w:rPr>
        <w:t>iiimhui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0"/>
        </w:rPr>
        <w:t>2021003866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2"/>
          <w:sz w:val="20"/>
          <w:szCs w:val="20"/>
          <w:u w:val="single"/>
        </w:rPr>
        <w:t>Dodatek č. 3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2"/>
          <w:b/>
          <w:bCs/>
          <w:sz w:val="20"/>
          <w:szCs w:val="20"/>
        </w:rPr>
        <w:t>ke Smlouvě o poskytování služeb elektronických komunikací ze dne 21. 8. 2020,</w:t>
        <w:br/>
        <w:t>uzavřený mezi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16"/>
          <w:b/>
          <w:bCs/>
        </w:rPr>
        <w:t>Zdravotnická záchranná služba Jihomoravského kraje, příspěvková organizace</w:t>
      </w:r>
    </w:p>
    <w:tbl>
      <w:tblPr>
        <w:tblOverlap w:val="never"/>
        <w:jc w:val="left"/>
        <w:tblLayout w:type="fixed"/>
      </w:tblPr>
      <w:tblGrid>
        <w:gridCol w:w="2438"/>
        <w:gridCol w:w="5429"/>
      </w:tblGrid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Sídlo: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Kamenice 798/1 d, Bohunice, 625 00 Brno 00346292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jednající: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MUDr Hana Albrechtová, ředitelka MONETA Money Bank. a.s.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color w:val="000000"/>
                <w:spacing w:val="1"/>
                <w:sz w:val="20"/>
                <w:szCs w:val="20"/>
                <w:shd w:val="clear" w:color="auto" w:fill="000000"/>
              </w:rPr>
              <w:t>........................</w:t>
            </w:r>
            <w:r>
              <w:rPr>
                <w:rStyle w:val="CharStyle19"/>
                <w:color w:val="000000"/>
                <w:spacing w:val="2"/>
                <w:sz w:val="20"/>
                <w:szCs w:val="20"/>
                <w:shd w:val="clear" w:color="auto" w:fill="000000"/>
              </w:rPr>
              <w:t>..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kontaktní osoba: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tel./fax kontaktní osoby: e-mail: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color w:val="000000"/>
                <w:spacing w:val="9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1"/>
                <w:sz w:val="20"/>
                <w:szCs w:val="20"/>
                <w:shd w:val="clear" w:color="auto" w:fill="000000"/>
              </w:rPr>
              <w:t>..........</w:t>
            </w:r>
            <w:r>
              <w:rPr>
                <w:rStyle w:val="CharStyle19"/>
                <w:color w:val="000000"/>
                <w:spacing w:val="2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2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19"/>
                <w:color w:val="000000"/>
                <w:spacing w:val="3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sz w:val="20"/>
                <w:szCs w:val="20"/>
              </w:rPr>
              <w:t xml:space="preserve"> 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1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color w:val="000000"/>
                <w:spacing w:val="2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color w:val="000000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19"/>
                <w:color w:val="000000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6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19"/>
                <w:color w:val="000000"/>
                <w:spacing w:val="7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color w:val="00000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19"/>
                <w:color w:val="000000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19"/>
                <w:color w:val="000000"/>
                <w:spacing w:val="11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19"/>
                <w:sz w:val="20"/>
                <w:szCs w:val="20"/>
              </w:rPr>
              <w:t xml:space="preserve"> </w:t>
            </w:r>
            <w:r>
              <w:rPr>
                <w:rStyle w:val="CharStyle19"/>
                <w:color w:val="000000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9"/>
                <w:color w:val="000000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CharStyle19"/>
                <w:color w:val="000000"/>
                <w:spacing w:val="2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6"/>
        </w:rPr>
        <w:t xml:space="preserve">na straně jedné jako </w:t>
      </w:r>
      <w:r>
        <w:rPr>
          <w:rStyle w:val="CharStyle16"/>
          <w:b/>
          <w:bCs/>
        </w:rPr>
        <w:t>„Objednatel</w:t>
      </w:r>
      <w:r>
        <w:rPr>
          <w:rStyle w:val="CharStyle16"/>
          <w:b/>
          <w:bCs/>
          <w:vertAlign w:val="superscript"/>
        </w:rPr>
        <w:t>1</w:t>
      </w:r>
      <w:r>
        <w:rPr>
          <w:rStyle w:val="CharStyle16"/>
          <w:b/>
          <w:bCs/>
        </w:rPr>
        <w:t>’</w:t>
      </w:r>
    </w:p>
    <w:p>
      <w:pPr>
        <w:widowControl w:val="0"/>
        <w:spacing w:after="4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</w:rPr>
        <w:t>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16"/>
          <w:b/>
          <w:bCs/>
        </w:rPr>
        <w:t>T-MOBILE Czech Republic a.s.</w:t>
      </w:r>
    </w:p>
    <w:tbl>
      <w:tblPr>
        <w:tblOverlap w:val="never"/>
        <w:jc w:val="left"/>
        <w:tblLayout w:type="fixed"/>
      </w:tblPr>
      <w:tblGrid>
        <w:gridCol w:w="1766"/>
        <w:gridCol w:w="6221"/>
      </w:tblGrid>
      <w:tr>
        <w:trPr>
          <w:trHeight w:val="11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Sídlo: IČ: DIČ: jednající: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Tomíčkova 2144/1, 148 00 Praha 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64949681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CZ64949681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Ing. Martin Fadrhons. manažer regionálního korporátního prodeje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6"/>
        </w:rPr>
        <w:t xml:space="preserve">na straně druhé jako </w:t>
      </w:r>
      <w:r>
        <w:rPr>
          <w:rStyle w:val="CharStyle16"/>
          <w:b/>
          <w:bCs/>
        </w:rPr>
        <w:t>„Zhotovitel '</w:t>
      </w:r>
    </w:p>
    <w:p>
      <w:pPr>
        <w:widowControl w:val="0"/>
        <w:spacing w:after="91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sz w:val="20"/>
          <w:szCs w:val="20"/>
        </w:r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rStyle w:val="CharStyle12"/>
        </w:rPr>
        <w:t>Dne 21 8.2020 uzavřely výše uvedené smluvní strany SMLOUVU O POSKYTOVÁNÍ SLUŽEB ELEKTRONICKÝCH KOMUNIKACÍ, ve zněni Dodatku č. 1 ze dne 22.2.2021 a Dodatku č. 2 ze dne 10. 6. 2021 (dále jen „Smlouva"). Vzhledem k tomu, že smluvní strany si přejí upravit některá ustanovení Smlouvy, pro tento účel uzavírají tento Dodatek č. 3 (dále jen „Dodatek") a dohodly se následovně: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2"/>
          <w:sz w:val="20"/>
          <w:szCs w:val="20"/>
        </w:rPr>
        <w:t>ZMĚNA SMLOUVY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1" w:val="left"/>
        </w:tabs>
        <w:bidi w:val="0"/>
        <w:spacing w:before="0" w:line="240" w:lineRule="auto"/>
        <w:ind w:left="500" w:right="0" w:hanging="340"/>
        <w:jc w:val="both"/>
        <w:rPr>
          <w:sz w:val="20"/>
          <w:szCs w:val="20"/>
        </w:rPr>
      </w:pPr>
      <w:r>
        <w:rPr>
          <w:rStyle w:val="CharStyle12"/>
          <w:sz w:val="20"/>
          <w:szCs w:val="20"/>
        </w:rPr>
        <w:t>Smluvní strany se dohodly, že Zhotovitel nebude ode dne 1.7.2021 poskytovat Objednateli Službu připojení výjezdové základny Objednatele v Šumné, primární linka GN 146810, záložní linka GN 146811.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4" w:val="left"/>
        </w:tabs>
        <w:bidi w:val="0"/>
        <w:spacing w:before="0" w:line="240" w:lineRule="auto"/>
        <w:ind w:left="500" w:right="0" w:hanging="340"/>
        <w:jc w:val="both"/>
        <w:rPr>
          <w:sz w:val="20"/>
          <w:szCs w:val="20"/>
        </w:rPr>
      </w:pPr>
      <w:r>
        <w:rPr>
          <w:rStyle w:val="CharStyle12"/>
          <w:sz w:val="20"/>
          <w:szCs w:val="20"/>
        </w:rPr>
        <w:t>Stávající zněni věty první v čl. III bod 3.1. Smlouvy se ruší a nahrazuje se novou první větou v tomto znění: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</w:rPr>
        <w:t>..Objednatel se zavazuje platit zhotoviteli za jeho služby podle čl 1.1. této smlouvy měsíční paušální cenu ve výši 129 160.- Kč bez DPH, tzn.156 283.60 Kč s DPH 21%.“</w:t>
      </w: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0" w:right="0" w:firstLine="66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</w:rPr>
        <w:t>Ostatní ujednání Smlouvy nejsou tímto Dodatkem nijak dotčena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2"/>
          <w:sz w:val="20"/>
          <w:szCs w:val="20"/>
        </w:rPr>
        <w:t>IV.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2"/>
          <w:sz w:val="20"/>
          <w:szCs w:val="20"/>
        </w:rPr>
        <w:t>ZÁVĚREČNÁ USTANOVENÍ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7" w:val="left"/>
        </w:tabs>
        <w:bidi w:val="0"/>
        <w:spacing w:before="0" w:after="0" w:line="240" w:lineRule="auto"/>
        <w:ind w:left="660" w:right="0" w:hanging="300"/>
        <w:jc w:val="both"/>
      </w:pPr>
      <w:r>
        <w:rPr>
          <w:rStyle w:val="CharStyle12"/>
        </w:rPr>
        <w:t>Tento Dodatek nabývá platnosti dnem jeho uzavřeni a účinnosti dnem jeho zveřejněni v souladu se zákonem č. 340/2015 Sb., o zvláštních podmínkách účinnosti některých smluv, uveřejňováni těchto smluv a o registru smluv (zákon o registru smluv), ve zněni pozdějších předpisů, v registru smluv.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7" w:val="left"/>
        </w:tabs>
        <w:bidi w:val="0"/>
        <w:spacing w:before="0" w:after="0" w:line="240" w:lineRule="auto"/>
        <w:ind w:left="660" w:right="0" w:hanging="300"/>
        <w:jc w:val="both"/>
      </w:pPr>
      <w:r>
        <w:rPr>
          <w:rStyle w:val="CharStyle12"/>
        </w:rPr>
        <w:t>Smluvní strany se dohodly, že změny sjednané tímto Dodatkem, které by smluvní strany aplikovaly na svůj smluvní vztah již od 1 7.2021. tj přede dnem nabyti účinnosti tohoto Dodatku, se považují za změny ve smyslu tohoto Dodatku a řídi se tímto Dodatkem.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7" w:val="left"/>
        </w:tabs>
        <w:bidi w:val="0"/>
        <w:spacing w:before="0" w:after="800" w:line="240" w:lineRule="auto"/>
        <w:ind w:left="660" w:right="0" w:hanging="300"/>
        <w:jc w:val="both"/>
      </w:pPr>
      <w:r>
        <w:rPr>
          <w:rStyle w:val="CharStyle12"/>
        </w:rPr>
        <w:t>Tento Dodatek je vyhotoven ve dvou (2) stejnopisech v českém jazyce. Každá ze smluvních stran obdrží jeden (1) stejnopis.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268" w:val="left"/>
        </w:tabs>
        <w:bidi w:val="0"/>
        <w:spacing w:before="0" w:after="0" w:line="240" w:lineRule="auto"/>
        <w:ind w:left="0" w:right="0" w:firstLine="660"/>
        <w:jc w:val="left"/>
        <w:rPr>
          <w:sz w:val="20"/>
          <w:szCs w:val="20"/>
        </w:rPr>
      </w:pPr>
      <w:r>
        <w:rPr>
          <w:rStyle w:val="CharStyle12"/>
          <w:sz w:val="20"/>
          <w:szCs w:val="20"/>
        </w:rPr>
        <w:t>Za Objednatele</w:t>
        <w:tab/>
        <w:t>Za Zhotovitele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5268" w:val="left"/>
        </w:tabs>
        <w:bidi w:val="0"/>
        <w:spacing w:before="0" w:after="100" w:line="240" w:lineRule="auto"/>
        <w:ind w:left="0" w:right="0" w:firstLine="660"/>
        <w:jc w:val="left"/>
        <w:rPr>
          <w:sz w:val="20"/>
          <w:szCs w:val="20"/>
        </w:rPr>
      </w:pPr>
      <w:r>
        <w:drawing>
          <wp:anchor distT="0" distB="475615" distL="537845" distR="114300" simplePos="0" relativeHeight="62914690" behindDoc="1" locked="0" layoutInCell="1" allowOverlap="1">
            <wp:simplePos x="0" y="0"/>
            <wp:positionH relativeFrom="page">
              <wp:posOffset>1881505</wp:posOffset>
            </wp:positionH>
            <wp:positionV relativeFrom="paragraph">
              <wp:posOffset>215900</wp:posOffset>
            </wp:positionV>
            <wp:extent cx="1499870" cy="8655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9870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1457960</wp:posOffset>
                </wp:positionH>
                <wp:positionV relativeFrom="paragraph">
                  <wp:posOffset>1228090</wp:posOffset>
                </wp:positionV>
                <wp:extent cx="1362710" cy="3289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4.8pt;margin-top:96.700000000000003pt;width:107.3pt;height:25.9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533400" distL="205740" distR="114300" simplePos="0" relativeHeight="62914691" behindDoc="1" locked="0" layoutInCell="1" allowOverlap="1">
            <wp:simplePos x="0" y="0"/>
            <wp:positionH relativeFrom="page">
              <wp:posOffset>4485005</wp:posOffset>
            </wp:positionH>
            <wp:positionV relativeFrom="paragraph">
              <wp:posOffset>381000</wp:posOffset>
            </wp:positionV>
            <wp:extent cx="1182370" cy="86550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82370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4393565</wp:posOffset>
                </wp:positionH>
                <wp:positionV relativeFrom="paragraph">
                  <wp:posOffset>1246505</wp:posOffset>
                </wp:positionV>
                <wp:extent cx="1203960" cy="53340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Ing. Martin Fadrhons, manažer regionálního korporátního prodeje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5.94999999999999pt;margin-top:98.150000000000006pt;width:94.799999999999997pt;height:42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Ing. Martin Fadrhons, manažer regionálního korporátního prodeje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2"/>
          <w:sz w:val="20"/>
          <w:szCs w:val="20"/>
        </w:rPr>
        <w:t>Dne: 29.6.2021</w:t>
        <w:tab/>
        <w:t>Dne: 29.6.2021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ind w:left="0" w:right="0" w:firstLine="0"/>
        <w:jc w:val="center"/>
      </w:pPr>
      <w:r>
        <w:rPr>
          <w:rStyle w:val="CharStyle38"/>
        </w:rPr>
        <w:t>Zdravotnická záchranná služba</w:t>
        <w:br/>
        <w:t>Jihomoravského kraje, po.</w:t>
        <w:br/>
      </w:r>
      <w:r>
        <w:rPr>
          <w:rStyle w:val="CharStyle38"/>
          <w:color w:val="8E8EA2"/>
        </w:rPr>
        <w:t xml:space="preserve">Kamenice 796/líi, </w:t>
      </w:r>
      <w:r>
        <w:rPr>
          <w:rStyle w:val="CharStyle38"/>
        </w:rPr>
        <w:t xml:space="preserve">625 </w:t>
      </w:r>
      <w:r>
        <w:rPr>
          <w:rStyle w:val="CharStyle38"/>
          <w:color w:val="8E8EA2"/>
        </w:rPr>
        <w:t>00 Brno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80"/>
        <w:ind w:left="1680" w:right="0" w:firstLine="0"/>
        <w:jc w:val="left"/>
      </w:pPr>
      <w:r>
        <w:rPr>
          <w:rStyle w:val="CharStyle38"/>
          <w:color w:val="8E8EA2"/>
        </w:rPr>
        <w:t>24</w:t>
      </w:r>
    </w:p>
    <w:sectPr>
      <w:footerReference w:type="default" r:id="rId9"/>
      <w:footerReference w:type="even" r:id="rId10"/>
      <w:footnotePr>
        <w:pos w:val="pageBottom"/>
        <w:numFmt w:val="decimal"/>
        <w:numRestart w:val="continuous"/>
      </w:footnotePr>
      <w:pgSz w:w="11900" w:h="16840"/>
      <w:pgMar w:top="446" w:right="748" w:bottom="2188" w:left="158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4213225</wp:posOffset>
              </wp:positionH>
              <wp:positionV relativeFrom="page">
                <wp:posOffset>9317355</wp:posOffset>
              </wp:positionV>
              <wp:extent cx="2216150" cy="2070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16150" cy="207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7"/>
                              <w:color w:val="8E8EA2"/>
                              <w:sz w:val="14"/>
                              <w:szCs w:val="14"/>
                            </w:rPr>
                            <w:t>C. zákaznika:6294 1526; Č kontraktulOKHim.l.lV 10 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7"/>
                              <w:color w:val="8E8EA2"/>
                              <w:sz w:val="14"/>
                              <w:szCs w:val="14"/>
                            </w:rPr>
                            <w:t>rXidypc: KAS. SubTypr PC. Kód dokumentu: 1C1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31.75pt;margin-top:733.64999999999998pt;width:174.5pt;height:16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7"/>
                        <w:color w:val="8E8EA2"/>
                        <w:sz w:val="14"/>
                        <w:szCs w:val="14"/>
                      </w:rPr>
                      <w:t>C. zákaznika:6294 1526; Č kontraktulOKHim.l.lV 10 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7"/>
                        <w:color w:val="8E8EA2"/>
                        <w:sz w:val="14"/>
                        <w:szCs w:val="14"/>
                      </w:rPr>
                      <w:t>rXidypc: KAS. SubTypr PC. Kód dokumentu: 1C1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4384040</wp:posOffset>
              </wp:positionH>
              <wp:positionV relativeFrom="page">
                <wp:posOffset>9367520</wp:posOffset>
              </wp:positionV>
              <wp:extent cx="2051050" cy="2165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5105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7"/>
                              <w:color w:val="8E8EA2"/>
                              <w:sz w:val="14"/>
                              <w:szCs w:val="14"/>
                            </w:rPr>
                            <w:t>ákaznika:62944526. Č Unlra»au:40K)t 404349 10 1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7"/>
                              <w:color w:val="8E8EA2"/>
                              <w:sz w:val="14"/>
                              <w:szCs w:val="14"/>
                            </w:rPr>
                            <w:t>DocType: K \S. SuMype: PC. Kód dokumentu IC 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45.19999999999999pt;margin-top:737.60000000000002pt;width:161.5pt;height:17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7"/>
                        <w:color w:val="8E8EA2"/>
                        <w:sz w:val="14"/>
                        <w:szCs w:val="14"/>
                      </w:rPr>
                      <w:t>ákaznika:62944526. Č Unlra»au:40K)t 404349 10 1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7"/>
                        <w:color w:val="8E8EA2"/>
                        <w:sz w:val="14"/>
                        <w:szCs w:val="14"/>
                      </w:rPr>
                      <w:t>DocType: K \S. SuMype: PC. Kód dokumentu IC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7657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7657C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7657C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19"/>
      <w:szCs w:val="19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/>
      <w:strike w:val="0"/>
      <w:color w:val="67657C"/>
      <w:sz w:val="86"/>
      <w:szCs w:val="8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8E8EA2"/>
      <w:sz w:val="15"/>
      <w:szCs w:val="15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22"/>
      <w:szCs w:val="22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67657C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22"/>
      <w:szCs w:val="22"/>
      <w:u w:val="none"/>
    </w:rPr>
  </w:style>
  <w:style w:type="character" w:customStyle="1" w:styleId="CharStyle38">
    <w:name w:val="Základní text (2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13"/>
      <w:szCs w:val="13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19"/>
      <w:szCs w:val="19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ind w:right="9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/>
      <w:strike w:val="0"/>
      <w:color w:val="67657C"/>
      <w:sz w:val="86"/>
      <w:szCs w:val="8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220"/>
      <w:ind w:right="9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E8EA2"/>
      <w:sz w:val="15"/>
      <w:szCs w:val="15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22"/>
      <w:szCs w:val="22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67657C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22"/>
      <w:szCs w:val="22"/>
      <w:u w:val="none"/>
    </w:rPr>
  </w:style>
  <w:style w:type="paragraph" w:customStyle="1" w:styleId="Style37">
    <w:name w:val="Základní text (2)"/>
    <w:basedOn w:val="Normal"/>
    <w:link w:val="CharStyle38"/>
    <w:pPr>
      <w:widowControl w:val="0"/>
      <w:shd w:val="clear" w:color="auto" w:fill="auto"/>
      <w:spacing w:before="160" w:after="40" w:line="29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657C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