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before="200" w:lineRule="auto"/>
        <w:jc w:val="center"/>
        <w:rPr>
          <w:rFonts w:ascii="Roboto" w:cs="Roboto" w:eastAsia="Roboto" w:hAnsi="Roboto"/>
          <w:b w:val="1"/>
        </w:rPr>
      </w:pPr>
      <w:bookmarkStart w:colFirst="0" w:colLast="0" w:name="_ead8v0d3sby9" w:id="0"/>
      <w:bookmarkEnd w:id="0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Dodatek ke Smlouvě o dílo </w:t>
      </w:r>
    </w:p>
    <w:p w:rsidR="00000000" w:rsidDel="00000000" w:rsidP="00000000" w:rsidRDefault="00000000" w:rsidRPr="00000000" w14:paraId="00000002">
      <w:pPr>
        <w:spacing w:after="0" w:before="200" w:lineRule="auto"/>
        <w:jc w:val="center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uzavřené dle ust. § 2586 a násl. zák. č. 89/2012 Sb., občanský zákoník, v Brně dne 26. 11. 2019 mezi</w:t>
      </w:r>
    </w:p>
    <w:p w:rsidR="00000000" w:rsidDel="00000000" w:rsidP="00000000" w:rsidRDefault="00000000" w:rsidRPr="00000000" w14:paraId="00000003">
      <w:pPr>
        <w:spacing w:after="0" w:before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Historický ústav AV ČR</w:t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sídlem: Prosecká 76, Praha 9 190 00</w:t>
        <w:tab/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IČ: 67985963</w:t>
        <w:tab/>
        <w:tab/>
      </w:r>
    </w:p>
    <w:p w:rsidR="00000000" w:rsidDel="00000000" w:rsidP="00000000" w:rsidRDefault="00000000" w:rsidRPr="00000000" w14:paraId="00000007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DIČ: CZ67985963</w:t>
        <w:tab/>
        <w:tab/>
      </w:r>
    </w:p>
    <w:p w:rsidR="00000000" w:rsidDel="00000000" w:rsidP="00000000" w:rsidRDefault="00000000" w:rsidRPr="00000000" w14:paraId="00000008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Zastoupen: </w:t>
        <w:tab/>
        <w:t xml:space="preserve">doc. PhDr. Martinem Holým, Ph.D., ředitelem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Peněžní ústav: KB Praha</w:t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Číslo účtu: 19-2795200207/0100</w:t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dále jen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objednatel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</w:t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JRWN s.r.o.</w:t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se sídlem: Klácelova 1a, Brno, 602 00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doručovací adresa: Klácelova 1a, Brno, 602 00</w:t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zapsaná v obchodním rejstříku vedeném u Krajského soudu v Brně, spis. zn. C 73185</w:t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zastoupená: Ing. David Benža</w:t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bankovní spojení: Fio banka, a.s., č. účtu: 2700232741/2010</w:t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IČ: 29309450, DIČ: CZ29309450</w:t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dále jen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zhotovitel</w:t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Smluvní strany se dohodly na dodatku č. 1 ke smlouvě o dílo uzavřené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 Brně dne 26. 11. 2019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kterým se upravuje čl. 1. Předmět plnění a čl. 5. Cena díla.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Dodatek se sepisuje na základě oznámení zhotovitele o skutečnostech, které vyžadují provést změnu smluvní ceny díla ve smyslu bodu 4. Povinnosti zhotovitele. Změna se týká technického řešení díla s dopadem na jeho smluvní cenu.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numPr>
          <w:ilvl w:val="0"/>
          <w:numId w:val="1"/>
        </w:numPr>
        <w:spacing w:before="200" w:lineRule="auto"/>
        <w:ind w:left="540" w:hanging="360"/>
        <w:rPr>
          <w:sz w:val="22"/>
          <w:szCs w:val="22"/>
        </w:rPr>
      </w:pPr>
      <w:bookmarkStart w:colFirst="0" w:colLast="0" w:name="_hvon22upen" w:id="1"/>
      <w:bookmarkEnd w:id="1"/>
      <w:r w:rsidDel="00000000" w:rsidR="00000000" w:rsidRPr="00000000">
        <w:rPr>
          <w:sz w:val="22"/>
          <w:szCs w:val="22"/>
          <w:rtl w:val="0"/>
        </w:rPr>
        <w:t xml:space="preserve">Předmět plnění - rozšířen</w:t>
      </w:r>
      <w:r w:rsidDel="00000000" w:rsidR="00000000" w:rsidRPr="00000000">
        <w:rPr>
          <w:rtl w:val="0"/>
        </w:rPr>
        <w:t xml:space="preserve">í</w:t>
      </w:r>
      <w:r w:rsidDel="00000000" w:rsidR="00000000" w:rsidRPr="00000000">
        <w:rPr>
          <w:sz w:val="22"/>
          <w:szCs w:val="22"/>
          <w:rtl w:val="0"/>
        </w:rPr>
        <w:t xml:space="preserve"> zadání</w:t>
      </w:r>
    </w:p>
    <w:p w:rsidR="00000000" w:rsidDel="00000000" w:rsidP="00000000" w:rsidRDefault="00000000" w:rsidRPr="00000000" w14:paraId="00000019">
      <w:pPr>
        <w:spacing w:after="0" w:before="200" w:lineRule="auto"/>
        <w:ind w:left="540" w:firstLine="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Předmět plnění je po úpravě zadání rozšířen o: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20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stránky s interaktivním diagramem organizační struktury ústavu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návrh, řešení obrázkovým diagramem včetně ikon, klikací mapy, responzivní provedení, ENG jazyková verze,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provázání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struktury s ostatními stranami webu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změny struktury a obsahu homepage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adaptace systému na dodatečně definované obsahové položky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úpravy responzivního designu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nové typové strany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dokumenty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ocenění - výpis + detail, archiv ocenění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vědecké společnosti a komise - výpis + detail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konference a workshopy - výpis + detail, archiv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knihovny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asistence s plněním obsahu + následné úpravy a změny designu</w:t>
      </w:r>
    </w:p>
    <w:p w:rsidR="00000000" w:rsidDel="00000000" w:rsidP="00000000" w:rsidRDefault="00000000" w:rsidRPr="00000000" w14:paraId="00000025">
      <w:pPr>
        <w:pStyle w:val="Heading2"/>
        <w:widowControl w:val="1"/>
        <w:numPr>
          <w:ilvl w:val="0"/>
          <w:numId w:val="1"/>
        </w:numPr>
        <w:spacing w:before="200" w:lineRule="auto"/>
        <w:rPr>
          <w:sz w:val="22"/>
          <w:szCs w:val="22"/>
        </w:rPr>
      </w:pPr>
      <w:bookmarkStart w:colFirst="0" w:colLast="0" w:name="_5473lsup3igc" w:id="2"/>
      <w:bookmarkEnd w:id="2"/>
      <w:r w:rsidDel="00000000" w:rsidR="00000000" w:rsidRPr="00000000">
        <w:rPr>
          <w:sz w:val="22"/>
          <w:szCs w:val="22"/>
          <w:rtl w:val="0"/>
        </w:rPr>
        <w:t xml:space="preserve">Cena díla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Za splnění předmětu plnění uvedeném v odstavci č. 1 dodatku č. 1 Smlouvy objednatel uhradí zhotoviteli odměnu ve výši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113.500 Kč bez DPH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Cena za dílo - předmět plnění dle rozšířeného zadání je podrobně specifikována v Příloze č. 1 Dodatku smlouvy.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Pokud není v této smlouvě dohodnuto jinak, zahrnuje odměna veškeré náklady a výdaje, které může zhotovitel mít v souvislosti s předmětem plnění.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1"/>
        <w:keepLines w:val="1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360"/>
        <w:jc w:val="left"/>
        <w:rPr/>
      </w:pPr>
      <w:bookmarkStart w:colFirst="0" w:colLast="0" w:name="_6pxvz2vi9ll4" w:id="3"/>
      <w:bookmarkEnd w:id="3"/>
      <w:r w:rsidDel="00000000" w:rsidR="00000000" w:rsidRPr="00000000">
        <w:rPr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Obě strany prohlašují, že došlo k dohodě o celém obsahu dodatku Smlouvy.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Tento dodatek je vyhotoven ve 2 stejnopisech, z nichž jeden obdrží objednatel a jeden zhotovitel.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Tento dodatek č.1 ke smlouvě nabývá účinnosti dnem zveřejnění v Registru smluv, který zajistí objednatel.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540" w:right="0" w:hanging="180"/>
        <w:jc w:val="left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Účastníci této Smlouvy po jejím přečtení prohlašují, že smlouva byla uzavřena na základě jejich pravé, svobodné a vážné vůle, nikoliv v tísni za nápadně nevýhodných podmínek, že si smlouvu před jejím podpisem důkladně přečetli a porozuměli jejímu obsahu, což stvrzují svými podpisy.</w:t>
      </w:r>
    </w:p>
    <w:p w:rsidR="00000000" w:rsidDel="00000000" w:rsidP="00000000" w:rsidRDefault="00000000" w:rsidRPr="00000000" w14:paraId="0000002F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 Praze dne ………………………..</w:t>
      </w:r>
    </w:p>
    <w:p w:rsidR="00000000" w:rsidDel="00000000" w:rsidP="00000000" w:rsidRDefault="00000000" w:rsidRPr="00000000" w14:paraId="00000035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</w:t>
        <w:tab/>
        <w:tab/>
        <w:tab/>
        <w:tab/>
        <w:tab/>
        <w:tab/>
        <w:t xml:space="preserve">……………………………</w:t>
      </w:r>
    </w:p>
    <w:p w:rsidR="00000000" w:rsidDel="00000000" w:rsidP="00000000" w:rsidRDefault="00000000" w:rsidRPr="00000000" w14:paraId="0000003A">
      <w:pPr>
        <w:spacing w:after="0" w:before="20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Objednatel</w:t>
        <w:tab/>
        <w:tab/>
        <w:tab/>
        <w:tab/>
        <w:tab/>
        <w:tab/>
        <w:tab/>
        <w:t xml:space="preserve">Zhotovitel</w:t>
      </w:r>
    </w:p>
    <w:p w:rsidR="00000000" w:rsidDel="00000000" w:rsidP="00000000" w:rsidRDefault="00000000" w:rsidRPr="00000000" w14:paraId="0000003B">
      <w:pPr>
        <w:pStyle w:val="Heading2"/>
        <w:spacing w:line="312" w:lineRule="auto"/>
        <w:ind w:left="0" w:firstLine="0"/>
        <w:rPr/>
      </w:pPr>
      <w:bookmarkStart w:colFirst="0" w:colLast="0" w:name="_hyuccnjo6pa8" w:id="4"/>
      <w:bookmarkEnd w:id="4"/>
      <w:r w:rsidDel="00000000" w:rsidR="00000000" w:rsidRPr="00000000">
        <w:rPr>
          <w:rtl w:val="0"/>
        </w:rPr>
        <w:t xml:space="preserve">PŘÍLOHA Č. 1 - Cenová kalkulace </w:t>
      </w:r>
    </w:p>
    <w:p w:rsidR="00000000" w:rsidDel="00000000" w:rsidP="00000000" w:rsidRDefault="00000000" w:rsidRPr="00000000" w14:paraId="0000003C">
      <w:pPr>
        <w:spacing w:before="200" w:line="312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Cena za návrh a implementaci změn na webu Historického Ústavu AV ČR:</w:t>
      </w:r>
    </w:p>
    <w:p w:rsidR="00000000" w:rsidDel="00000000" w:rsidP="00000000" w:rsidRDefault="00000000" w:rsidRPr="00000000" w14:paraId="0000003D">
      <w:pPr>
        <w:spacing w:before="200" w:line="312" w:lineRule="auto"/>
        <w:rPr>
          <w:rFonts w:ascii="Roboto" w:cs="Roboto" w:eastAsia="Roboto" w:hAnsi="Roboto"/>
          <w:b w:val="1"/>
          <w:color w:val="353744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rtl w:val="0"/>
        </w:rPr>
        <w:t xml:space="preserve">Cena obsahuje: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interaktivní diagram organizační struktury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- návrh, řešení obrázkovým diagramem včetně ikon, klikací mapy, responzivní provedení, ENG jazyková verze,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provázání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struktury s ostatními stranami webu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změny struktury a obsahu homepage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adaptace systému na dodatečně definované obsahové položky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nastavením delegovaných administrativních práv pro tzv. podstránky projektů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="312" w:lineRule="auto"/>
        <w:ind w:left="720" w:hanging="360"/>
        <w:rPr>
          <w:rFonts w:ascii="Roboto" w:cs="Roboto" w:eastAsia="Roboto" w:hAnsi="Roboto"/>
          <w:color w:val="353744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úpravy responzivního designu</w:t>
      </w:r>
      <w:r w:rsidDel="00000000" w:rsidR="00000000" w:rsidRPr="00000000">
        <w:rPr>
          <w:rFonts w:ascii="Roboto" w:cs="Roboto" w:eastAsia="Roboto" w:hAnsi="Roboto"/>
          <w:color w:val="353744"/>
          <w:rtl w:val="0"/>
        </w:rPr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before="0" w:beforeAutospacing="0" w:line="312" w:lineRule="auto"/>
        <w:ind w:left="720" w:hanging="360"/>
        <w:rPr>
          <w:rFonts w:ascii="Proxima Nova" w:cs="Proxima Nova" w:eastAsia="Proxima Nova" w:hAnsi="Proxima Nova"/>
          <w:color w:val="4a86e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a86e8"/>
          <w:sz w:val="24"/>
          <w:szCs w:val="24"/>
          <w:rtl w:val="0"/>
        </w:rPr>
        <w:t xml:space="preserve">48.500 Kč </w:t>
      </w:r>
      <w:r w:rsidDel="00000000" w:rsidR="00000000" w:rsidRPr="00000000">
        <w:rPr>
          <w:rFonts w:ascii="Roboto" w:cs="Roboto" w:eastAsia="Roboto" w:hAnsi="Roboto"/>
          <w:color w:val="4a86e8"/>
          <w:sz w:val="24"/>
          <w:szCs w:val="24"/>
          <w:rtl w:val="0"/>
        </w:rPr>
        <w:t xml:space="preserve">(bez DPH)</w:t>
      </w:r>
    </w:p>
    <w:p w:rsidR="00000000" w:rsidDel="00000000" w:rsidP="00000000" w:rsidRDefault="00000000" w:rsidRPr="00000000" w14:paraId="00000044">
      <w:pPr>
        <w:spacing w:before="200" w:line="312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Cena za návrh a realizaci nových typových stran webu Ústavu:</w:t>
      </w:r>
    </w:p>
    <w:p w:rsidR="00000000" w:rsidDel="00000000" w:rsidP="00000000" w:rsidRDefault="00000000" w:rsidRPr="00000000" w14:paraId="00000045">
      <w:pPr>
        <w:spacing w:before="200" w:line="312" w:lineRule="auto"/>
        <w:rPr>
          <w:rFonts w:ascii="Roboto" w:cs="Roboto" w:eastAsia="Roboto" w:hAnsi="Roboto"/>
          <w:color w:val="353744"/>
        </w:rPr>
      </w:pPr>
      <w:r w:rsidDel="00000000" w:rsidR="00000000" w:rsidRPr="00000000">
        <w:rPr>
          <w:rFonts w:ascii="Roboto" w:cs="Roboto" w:eastAsia="Roboto" w:hAnsi="Roboto"/>
          <w:b w:val="1"/>
          <w:color w:val="353744"/>
          <w:rtl w:val="0"/>
        </w:rPr>
        <w:t xml:space="preserve">Cena obsahuje: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0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nové typové strany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dokumenty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ocenění - výpis + detail, archiv ocenění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vědecké společnosti a komise - výpis + detail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konference a workshopy - výpis + detail, archiv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knihovny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asistence s plnením obsahu + následné úpravy a změny designu</w:t>
      </w:r>
      <w:r w:rsidDel="00000000" w:rsidR="00000000" w:rsidRPr="00000000">
        <w:rPr>
          <w:rFonts w:ascii="Roboto" w:cs="Roboto" w:eastAsia="Roboto" w:hAnsi="Roboto"/>
          <w:color w:val="353744"/>
          <w:rtl w:val="0"/>
        </w:rPr>
        <w:br w:type="textWrapping"/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before="0" w:beforeAutospacing="0" w:line="312" w:lineRule="auto"/>
        <w:ind w:left="720" w:hanging="360"/>
        <w:rPr>
          <w:rFonts w:ascii="Proxima Nova" w:cs="Proxima Nova" w:eastAsia="Proxima Nova" w:hAnsi="Proxima Nova"/>
          <w:color w:val="4a86e8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a86e8"/>
          <w:sz w:val="24"/>
          <w:szCs w:val="24"/>
          <w:rtl w:val="0"/>
        </w:rPr>
        <w:t xml:space="preserve">65.000 Kč </w:t>
      </w:r>
      <w:r w:rsidDel="00000000" w:rsidR="00000000" w:rsidRPr="00000000">
        <w:rPr>
          <w:rFonts w:ascii="Roboto" w:cs="Roboto" w:eastAsia="Roboto" w:hAnsi="Roboto"/>
          <w:color w:val="4a86e8"/>
          <w:sz w:val="24"/>
          <w:szCs w:val="24"/>
          <w:rtl w:val="0"/>
        </w:rPr>
        <w:t xml:space="preserve">(bez DPH)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before="280" w:line="312" w:lineRule="auto"/>
        <w:ind w:left="0" w:firstLine="0"/>
        <w:rPr>
          <w:b w:val="0"/>
          <w:color w:val="3c78d8"/>
          <w:sz w:val="28"/>
          <w:szCs w:val="28"/>
        </w:rPr>
      </w:pPr>
      <w:bookmarkStart w:colFirst="0" w:colLast="0" w:name="_tsi9njxfhioe" w:id="5"/>
      <w:bookmarkEnd w:id="5"/>
      <w:r w:rsidDel="00000000" w:rsidR="00000000" w:rsidRPr="00000000">
        <w:rPr>
          <w:color w:val="3c78d8"/>
          <w:sz w:val="28"/>
          <w:szCs w:val="28"/>
          <w:rtl w:val="0"/>
        </w:rPr>
        <w:t xml:space="preserve">Sazebník prací nad rámec kalkulace</w:t>
      </w:r>
      <w:r w:rsidDel="00000000" w:rsidR="00000000" w:rsidRPr="00000000">
        <w:rPr>
          <w:b w:val="0"/>
          <w:color w:val="3c78d8"/>
          <w:sz w:val="28"/>
          <w:szCs w:val="28"/>
          <w:rtl w:val="0"/>
        </w:rPr>
        <w:t xml:space="preserve"> (hodinové sazby)</w:t>
      </w:r>
    </w:p>
    <w:tbl>
      <w:tblPr>
        <w:tblStyle w:val="Table1"/>
        <w:tblW w:w="888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25"/>
        <w:gridCol w:w="1755"/>
        <w:tblGridChange w:id="0">
          <w:tblGrid>
            <w:gridCol w:w="7125"/>
            <w:gridCol w:w="1755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before="200" w:lineRule="auto"/>
              <w:rPr>
                <w:rFonts w:ascii="Roboto" w:cs="Roboto" w:eastAsia="Roboto" w:hAnsi="Roboto"/>
                <w:b w:val="1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53744"/>
                <w:rtl w:val="0"/>
              </w:rPr>
              <w:t xml:space="preserve">typ úkonu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before="200" w:lineRule="auto"/>
              <w:jc w:val="right"/>
              <w:rPr>
                <w:rFonts w:ascii="Roboto" w:cs="Roboto" w:eastAsia="Roboto" w:hAnsi="Roboto"/>
                <w:b w:val="1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53744"/>
                <w:rtl w:val="0"/>
              </w:rPr>
              <w:t xml:space="preserve">hodinová sazba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before="200" w:lineRule="auto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práce s daty, analýza, rešerše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before="200" w:lineRule="auto"/>
              <w:jc w:val="right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800 Kč/h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before="200" w:lineRule="auto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práce grafického designéra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before="200" w:lineRule="auto"/>
              <w:jc w:val="right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800 Kč/h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before="200" w:lineRule="auto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práce projektového manažera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before="200" w:lineRule="auto"/>
              <w:jc w:val="right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800 Kč/h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before="200" w:lineRule="auto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copywriting – tvorba reklamních a marketingových textů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before="200" w:lineRule="auto"/>
              <w:jc w:val="right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Fonts w:ascii="Roboto" w:cs="Roboto" w:eastAsia="Roboto" w:hAnsi="Roboto"/>
                <w:color w:val="353744"/>
                <w:rtl w:val="0"/>
              </w:rPr>
              <w:t xml:space="preserve">700 Kč/h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before="200" w:lineRule="auto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before="200" w:lineRule="auto"/>
              <w:jc w:val="right"/>
              <w:rPr>
                <w:rFonts w:ascii="Roboto" w:cs="Roboto" w:eastAsia="Roboto" w:hAnsi="Roboto"/>
                <w:color w:val="35374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roxima Nov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  <w:ind w:left="540" w:hanging="360"/>
    </w:pPr>
    <w:rPr>
      <w:rFonts w:ascii="Roboto" w:cs="Roboto" w:eastAsia="Roboto" w:hAnsi="Robo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roximaNova-regular.ttf"/><Relationship Id="rId6" Type="http://schemas.openxmlformats.org/officeDocument/2006/relationships/font" Target="fonts/ProximaNova-bold.ttf"/><Relationship Id="rId7" Type="http://schemas.openxmlformats.org/officeDocument/2006/relationships/font" Target="fonts/ProximaNova-italic.ttf"/><Relationship Id="rId8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