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81274" w14:textId="77777777" w:rsidR="000F297B" w:rsidRDefault="001A33C4">
      <w:pPr>
        <w:jc w:val="center"/>
      </w:pPr>
      <w:r>
        <w:rPr>
          <w:b/>
          <w:bCs/>
          <w:sz w:val="28"/>
          <w:szCs w:val="28"/>
        </w:rPr>
        <w:t xml:space="preserve">SMLOUVA O </w:t>
      </w:r>
      <w:proofErr w:type="gramStart"/>
      <w:r>
        <w:rPr>
          <w:b/>
          <w:bCs/>
          <w:sz w:val="28"/>
          <w:szCs w:val="28"/>
        </w:rPr>
        <w:t>NÁJMU  číslo</w:t>
      </w:r>
      <w:proofErr w:type="gramEnd"/>
      <w:r>
        <w:rPr>
          <w:b/>
          <w:bCs/>
          <w:sz w:val="28"/>
          <w:szCs w:val="28"/>
        </w:rPr>
        <w:t xml:space="preserve">  MJ-SML/0509/2021</w:t>
      </w:r>
    </w:p>
    <w:p w14:paraId="2628D305" w14:textId="77777777" w:rsidR="000F297B" w:rsidRDefault="000F297B"/>
    <w:p w14:paraId="0734296E" w14:textId="77777777" w:rsidR="000F297B" w:rsidRDefault="001A33C4">
      <w:pPr>
        <w:jc w:val="center"/>
        <w:rPr>
          <w:szCs w:val="20"/>
        </w:rPr>
      </w:pPr>
      <w:r>
        <w:rPr>
          <w:szCs w:val="20"/>
        </w:rPr>
        <w:t>uzavřená níže uvedeného dne, měsíce a roku podle příslušných ustanovení zákona č. 89/2012 Sb., občanský zákoník, ve znění pozdějších předpisů (dále jen „</w:t>
      </w:r>
      <w:r>
        <w:rPr>
          <w:b/>
          <w:szCs w:val="20"/>
        </w:rPr>
        <w:t>OZ</w:t>
      </w:r>
      <w:r>
        <w:rPr>
          <w:szCs w:val="20"/>
        </w:rPr>
        <w:t>“), mezi níže uvedenými stranami</w:t>
      </w:r>
    </w:p>
    <w:p w14:paraId="772626CB" w14:textId="77777777" w:rsidR="000F297B" w:rsidRDefault="000F297B">
      <w:pPr>
        <w:rPr>
          <w:szCs w:val="20"/>
        </w:rPr>
      </w:pPr>
    </w:p>
    <w:p w14:paraId="0DAB1EAE" w14:textId="77777777" w:rsidR="000F297B" w:rsidRDefault="001A33C4">
      <w:pPr>
        <w:jc w:val="center"/>
        <w:rPr>
          <w:szCs w:val="20"/>
        </w:rPr>
      </w:pPr>
      <w:r>
        <w:rPr>
          <w:szCs w:val="20"/>
        </w:rPr>
        <w:t>(dále jen „</w:t>
      </w:r>
      <w:r>
        <w:rPr>
          <w:b/>
          <w:bCs/>
          <w:szCs w:val="20"/>
        </w:rPr>
        <w:t>Smlouva</w:t>
      </w:r>
      <w:r>
        <w:rPr>
          <w:szCs w:val="20"/>
        </w:rPr>
        <w:t>“)</w:t>
      </w:r>
    </w:p>
    <w:p w14:paraId="78C4A018" w14:textId="77777777" w:rsidR="000F297B" w:rsidRDefault="000F297B">
      <w:pPr>
        <w:rPr>
          <w:szCs w:val="20"/>
        </w:rPr>
      </w:pPr>
    </w:p>
    <w:p w14:paraId="2A3EC356" w14:textId="77777777" w:rsidR="000F297B" w:rsidRDefault="001A33C4">
      <w:pPr>
        <w:rPr>
          <w:b/>
          <w:bCs/>
          <w:szCs w:val="20"/>
        </w:rPr>
      </w:pPr>
      <w:r>
        <w:rPr>
          <w:b/>
          <w:bCs/>
          <w:szCs w:val="20"/>
        </w:rPr>
        <w:t>Město Jeseník</w:t>
      </w:r>
    </w:p>
    <w:p w14:paraId="44D89594" w14:textId="77777777" w:rsidR="000F297B" w:rsidRDefault="000F297B">
      <w:pPr>
        <w:rPr>
          <w:szCs w:val="20"/>
        </w:rPr>
      </w:pPr>
    </w:p>
    <w:p w14:paraId="43EF38B7" w14:textId="77777777" w:rsidR="000F297B" w:rsidRDefault="001A33C4">
      <w:r>
        <w:rPr>
          <w:szCs w:val="20"/>
        </w:rPr>
        <w:t>Se sídlem:</w:t>
      </w:r>
      <w:r>
        <w:rPr>
          <w:szCs w:val="20"/>
        </w:rPr>
        <w:tab/>
      </w:r>
      <w:r>
        <w:rPr>
          <w:szCs w:val="20"/>
        </w:rPr>
        <w:tab/>
        <w:t>Masarykovo nám. 167/1, 790 01 Jeseník</w:t>
      </w:r>
      <w:r>
        <w:rPr>
          <w:szCs w:val="20"/>
        </w:rPr>
        <w:tab/>
      </w:r>
      <w:r>
        <w:rPr>
          <w:szCs w:val="20"/>
        </w:rPr>
        <w:tab/>
      </w:r>
    </w:p>
    <w:p w14:paraId="4B5F982D" w14:textId="77777777" w:rsidR="000F297B" w:rsidRDefault="001A33C4">
      <w:r>
        <w:rPr>
          <w:szCs w:val="20"/>
        </w:rPr>
        <w:t>Zastoupeno:</w:t>
      </w:r>
      <w:r>
        <w:rPr>
          <w:szCs w:val="20"/>
        </w:rPr>
        <w:tab/>
      </w:r>
      <w:r>
        <w:rPr>
          <w:szCs w:val="20"/>
        </w:rPr>
        <w:tab/>
        <w:t xml:space="preserve">Mgr. Bc. Zdeňka </w:t>
      </w:r>
      <w:proofErr w:type="spellStart"/>
      <w:r>
        <w:rPr>
          <w:szCs w:val="20"/>
        </w:rPr>
        <w:t>Blišťanová</w:t>
      </w:r>
      <w:proofErr w:type="spellEnd"/>
      <w:r>
        <w:rPr>
          <w:szCs w:val="20"/>
        </w:rPr>
        <w:t xml:space="preserve">, starostka </w:t>
      </w:r>
    </w:p>
    <w:p w14:paraId="2D5DCC11" w14:textId="77777777" w:rsidR="000F297B" w:rsidRDefault="001A33C4">
      <w:r>
        <w:rPr>
          <w:szCs w:val="20"/>
        </w:rPr>
        <w:t>Bankovní spojení:</w:t>
      </w:r>
      <w:r>
        <w:rPr>
          <w:szCs w:val="20"/>
        </w:rPr>
        <w:tab/>
        <w:t>Komerční banka, a.s., Šumperk, expozitura Jeseník</w:t>
      </w:r>
    </w:p>
    <w:p w14:paraId="026A7A3A" w14:textId="77777777" w:rsidR="000F297B" w:rsidRDefault="001A33C4">
      <w:r>
        <w:rPr>
          <w:szCs w:val="20"/>
        </w:rPr>
        <w:t>Číslo účtu:</w:t>
      </w:r>
      <w:r>
        <w:rPr>
          <w:szCs w:val="20"/>
        </w:rPr>
        <w:tab/>
      </w:r>
      <w:r>
        <w:rPr>
          <w:szCs w:val="20"/>
        </w:rPr>
        <w:tab/>
        <w:t xml:space="preserve">43-3820200247/0100 </w:t>
      </w:r>
    </w:p>
    <w:p w14:paraId="49DFB293" w14:textId="77777777" w:rsidR="000F297B" w:rsidRDefault="001A33C4">
      <w:r>
        <w:rPr>
          <w:szCs w:val="20"/>
        </w:rPr>
        <w:t>IČO: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00302724</w:t>
      </w:r>
    </w:p>
    <w:p w14:paraId="25D29164" w14:textId="77777777" w:rsidR="000F297B" w:rsidRDefault="001A33C4">
      <w:r>
        <w:rPr>
          <w:szCs w:val="20"/>
        </w:rPr>
        <w:t>DIČ: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CZ</w:t>
      </w:r>
      <w:r>
        <w:rPr>
          <w:szCs w:val="20"/>
        </w:rPr>
        <w:t>00302724</w:t>
      </w:r>
    </w:p>
    <w:p w14:paraId="1A206799" w14:textId="77777777" w:rsidR="000F297B" w:rsidRDefault="001A33C4">
      <w:r>
        <w:rPr>
          <w:szCs w:val="20"/>
        </w:rPr>
        <w:t>ID datové schránky:</w:t>
      </w:r>
      <w:r>
        <w:rPr>
          <w:szCs w:val="20"/>
        </w:rPr>
        <w:tab/>
        <w:t xml:space="preserve">vhwbwm9 </w:t>
      </w:r>
    </w:p>
    <w:p w14:paraId="683309E2" w14:textId="77777777" w:rsidR="000F297B" w:rsidRDefault="000F297B">
      <w:pPr>
        <w:rPr>
          <w:szCs w:val="20"/>
        </w:rPr>
      </w:pPr>
    </w:p>
    <w:p w14:paraId="090F10E0" w14:textId="77777777" w:rsidR="000F297B" w:rsidRDefault="001A33C4">
      <w:pPr>
        <w:rPr>
          <w:szCs w:val="20"/>
        </w:rPr>
      </w:pPr>
      <w:r>
        <w:rPr>
          <w:szCs w:val="20"/>
        </w:rPr>
        <w:t>(dále jen „</w:t>
      </w:r>
      <w:r>
        <w:rPr>
          <w:b/>
          <w:bCs/>
          <w:szCs w:val="20"/>
        </w:rPr>
        <w:t>Pronajímatel</w:t>
      </w:r>
      <w:r>
        <w:rPr>
          <w:szCs w:val="20"/>
        </w:rPr>
        <w:t>“)</w:t>
      </w:r>
    </w:p>
    <w:p w14:paraId="220718D3" w14:textId="77777777" w:rsidR="000F297B" w:rsidRDefault="000F297B">
      <w:pPr>
        <w:rPr>
          <w:szCs w:val="20"/>
        </w:rPr>
      </w:pPr>
    </w:p>
    <w:p w14:paraId="05501A04" w14:textId="77777777" w:rsidR="000F297B" w:rsidRDefault="000F297B">
      <w:pPr>
        <w:rPr>
          <w:szCs w:val="20"/>
        </w:rPr>
      </w:pPr>
    </w:p>
    <w:p w14:paraId="6D02CA3E" w14:textId="77777777" w:rsidR="000F297B" w:rsidRDefault="001A33C4">
      <w:pPr>
        <w:rPr>
          <w:szCs w:val="20"/>
        </w:rPr>
      </w:pPr>
      <w:r>
        <w:rPr>
          <w:szCs w:val="20"/>
        </w:rPr>
        <w:t>a</w:t>
      </w:r>
    </w:p>
    <w:p w14:paraId="1F158E9B" w14:textId="77777777" w:rsidR="000F297B" w:rsidRDefault="000F297B">
      <w:pPr>
        <w:rPr>
          <w:szCs w:val="20"/>
        </w:rPr>
      </w:pPr>
    </w:p>
    <w:p w14:paraId="190CA14F" w14:textId="77777777" w:rsidR="000F297B" w:rsidRDefault="000F297B">
      <w:pPr>
        <w:rPr>
          <w:szCs w:val="20"/>
        </w:rPr>
      </w:pPr>
    </w:p>
    <w:p w14:paraId="149514BD" w14:textId="77777777" w:rsidR="000F297B" w:rsidRDefault="001A33C4">
      <w:r>
        <w:rPr>
          <w:b/>
          <w:bCs/>
          <w:szCs w:val="20"/>
        </w:rPr>
        <w:t>Česká republika – Úřad práce České republiky</w:t>
      </w:r>
    </w:p>
    <w:p w14:paraId="3649639D" w14:textId="77777777" w:rsidR="000F297B" w:rsidRDefault="000F297B">
      <w:pPr>
        <w:rPr>
          <w:szCs w:val="20"/>
        </w:rPr>
      </w:pPr>
    </w:p>
    <w:p w14:paraId="387F466B" w14:textId="77777777" w:rsidR="000F297B" w:rsidRDefault="001A33C4">
      <w:r>
        <w:rPr>
          <w:szCs w:val="20"/>
        </w:rPr>
        <w:t xml:space="preserve">Se sídlem: </w:t>
      </w:r>
      <w:r>
        <w:rPr>
          <w:szCs w:val="20"/>
        </w:rPr>
        <w:tab/>
      </w:r>
      <w:r>
        <w:rPr>
          <w:szCs w:val="20"/>
        </w:rPr>
        <w:tab/>
        <w:t>Dobrovského 1278/25, 170 00, Praha 7</w:t>
      </w:r>
    </w:p>
    <w:p w14:paraId="05BD3C2F" w14:textId="77777777" w:rsidR="000F297B" w:rsidRDefault="001A33C4">
      <w:r>
        <w:rPr>
          <w:szCs w:val="20"/>
        </w:rPr>
        <w:t>Zastoupen:</w:t>
      </w:r>
      <w:r>
        <w:rPr>
          <w:szCs w:val="20"/>
        </w:rPr>
        <w:tab/>
      </w:r>
      <w:r>
        <w:rPr>
          <w:szCs w:val="20"/>
        </w:rPr>
        <w:tab/>
        <w:t>Ing. Jiří Šabata, ředitel Krajské pobočky ÚP ČR v Olomouci</w:t>
      </w:r>
    </w:p>
    <w:p w14:paraId="47BA8B39" w14:textId="77777777" w:rsidR="000F297B" w:rsidRDefault="001A33C4">
      <w:r>
        <w:rPr>
          <w:szCs w:val="20"/>
        </w:rPr>
        <w:t>Kontaktní adresa:</w:t>
      </w:r>
      <w:r>
        <w:rPr>
          <w:szCs w:val="20"/>
        </w:rPr>
        <w:tab/>
      </w:r>
      <w:proofErr w:type="spellStart"/>
      <w:r>
        <w:rPr>
          <w:szCs w:val="20"/>
        </w:rPr>
        <w:t>Vejdovského</w:t>
      </w:r>
      <w:proofErr w:type="spellEnd"/>
      <w:r>
        <w:rPr>
          <w:szCs w:val="20"/>
        </w:rPr>
        <w:t xml:space="preserve"> 988/4, 779 00 Olomouc</w:t>
      </w:r>
      <w:r>
        <w:rPr>
          <w:szCs w:val="20"/>
        </w:rPr>
        <w:tab/>
      </w:r>
    </w:p>
    <w:p w14:paraId="5A7BF3BB" w14:textId="77777777" w:rsidR="000F297B" w:rsidRDefault="001A33C4">
      <w:r>
        <w:rPr>
          <w:szCs w:val="20"/>
        </w:rPr>
        <w:t>Bankovní spojení:</w:t>
      </w:r>
      <w:r>
        <w:rPr>
          <w:szCs w:val="20"/>
        </w:rPr>
        <w:tab/>
        <w:t>Česká národní banka</w:t>
      </w:r>
    </w:p>
    <w:p w14:paraId="60422798" w14:textId="77777777" w:rsidR="000F297B" w:rsidRDefault="001A33C4">
      <w:r>
        <w:rPr>
          <w:szCs w:val="20"/>
        </w:rPr>
        <w:t>Číslo účtu:</w:t>
      </w:r>
      <w:r>
        <w:rPr>
          <w:szCs w:val="20"/>
        </w:rPr>
        <w:tab/>
      </w:r>
      <w:r>
        <w:rPr>
          <w:szCs w:val="20"/>
        </w:rPr>
        <w:tab/>
        <w:t>37820811/0710</w:t>
      </w:r>
      <w:r>
        <w:rPr>
          <w:szCs w:val="20"/>
        </w:rPr>
        <w:tab/>
        <w:t xml:space="preserve">                                                      </w:t>
      </w:r>
    </w:p>
    <w:p w14:paraId="64F5EA2D" w14:textId="77777777" w:rsidR="000F297B" w:rsidRDefault="001A33C4">
      <w:r>
        <w:rPr>
          <w:szCs w:val="20"/>
        </w:rPr>
        <w:t>IČO: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72496991</w:t>
      </w:r>
    </w:p>
    <w:p w14:paraId="4925B922" w14:textId="77777777" w:rsidR="000F297B" w:rsidRDefault="001A33C4">
      <w:r>
        <w:rPr>
          <w:szCs w:val="20"/>
        </w:rPr>
        <w:t>ID datové schránky:</w:t>
      </w:r>
      <w:r>
        <w:rPr>
          <w:szCs w:val="20"/>
        </w:rPr>
        <w:tab/>
        <w:t>a2azprx</w:t>
      </w:r>
      <w:r>
        <w:rPr>
          <w:szCs w:val="20"/>
        </w:rPr>
        <w:tab/>
        <w:t xml:space="preserve">     </w:t>
      </w:r>
    </w:p>
    <w:p w14:paraId="473C1FB3" w14:textId="77777777" w:rsidR="000F297B" w:rsidRDefault="000F297B">
      <w:pPr>
        <w:rPr>
          <w:szCs w:val="20"/>
        </w:rPr>
      </w:pPr>
    </w:p>
    <w:p w14:paraId="6898E167" w14:textId="77777777" w:rsidR="000F297B" w:rsidRDefault="001A33C4">
      <w:r>
        <w:rPr>
          <w:b/>
          <w:bCs/>
          <w:szCs w:val="20"/>
        </w:rPr>
        <w:t>(dále jen „Nájemce“)</w:t>
      </w:r>
    </w:p>
    <w:p w14:paraId="4C0C2248" w14:textId="77777777" w:rsidR="000F297B" w:rsidRDefault="000F297B">
      <w:pPr>
        <w:rPr>
          <w:szCs w:val="20"/>
        </w:rPr>
      </w:pPr>
    </w:p>
    <w:p w14:paraId="088BF349" w14:textId="77777777" w:rsidR="000F297B" w:rsidRDefault="000F297B">
      <w:pPr>
        <w:rPr>
          <w:szCs w:val="20"/>
        </w:rPr>
      </w:pPr>
    </w:p>
    <w:p w14:paraId="7C00E3CC" w14:textId="77777777" w:rsidR="000F297B" w:rsidRDefault="001A33C4">
      <w:pPr>
        <w:rPr>
          <w:szCs w:val="20"/>
        </w:rPr>
      </w:pPr>
      <w:r>
        <w:rPr>
          <w:szCs w:val="20"/>
        </w:rPr>
        <w:t xml:space="preserve">(Pronajímatel a </w:t>
      </w:r>
      <w:r>
        <w:rPr>
          <w:szCs w:val="20"/>
        </w:rPr>
        <w:t>Nájemce budou dále v této Smlouvě označováni společně také jako „</w:t>
      </w:r>
      <w:r>
        <w:rPr>
          <w:b/>
          <w:bCs/>
          <w:szCs w:val="20"/>
        </w:rPr>
        <w:t>Smluvní strany</w:t>
      </w:r>
      <w:r>
        <w:rPr>
          <w:szCs w:val="20"/>
        </w:rPr>
        <w:t>“ nebo jednotlivě také jako „</w:t>
      </w:r>
      <w:r>
        <w:rPr>
          <w:b/>
          <w:bCs/>
          <w:szCs w:val="20"/>
        </w:rPr>
        <w:t>Smluvní strana</w:t>
      </w:r>
      <w:r>
        <w:rPr>
          <w:szCs w:val="20"/>
        </w:rPr>
        <w:t>“)</w:t>
      </w:r>
    </w:p>
    <w:p w14:paraId="493016B9" w14:textId="77777777" w:rsidR="000F297B" w:rsidRDefault="000F297B">
      <w:pPr>
        <w:jc w:val="center"/>
        <w:rPr>
          <w:b/>
          <w:bCs/>
          <w:szCs w:val="20"/>
        </w:rPr>
      </w:pPr>
    </w:p>
    <w:p w14:paraId="54E49CBC" w14:textId="77777777" w:rsidR="000F297B" w:rsidRDefault="001A33C4">
      <w:pPr>
        <w:jc w:val="center"/>
      </w:pPr>
      <w:r>
        <w:rPr>
          <w:b/>
          <w:bCs/>
          <w:szCs w:val="20"/>
        </w:rPr>
        <w:t>Preambule</w:t>
      </w:r>
    </w:p>
    <w:p w14:paraId="615DB6DB" w14:textId="77777777" w:rsidR="000F297B" w:rsidRDefault="000F297B">
      <w:pPr>
        <w:rPr>
          <w:szCs w:val="20"/>
        </w:rPr>
      </w:pPr>
    </w:p>
    <w:p w14:paraId="633CD23D" w14:textId="77777777" w:rsidR="000F297B" w:rsidRDefault="001A33C4">
      <w:pPr>
        <w:numPr>
          <w:ilvl w:val="0"/>
          <w:numId w:val="1"/>
        </w:numPr>
        <w:jc w:val="both"/>
      </w:pPr>
      <w:r>
        <w:rPr>
          <w:szCs w:val="20"/>
        </w:rPr>
        <w:t>Pronajímatel je vlastníkem těchto nemovitých věcí:</w:t>
      </w:r>
    </w:p>
    <w:p w14:paraId="2F5A5078" w14:textId="77777777" w:rsidR="000F297B" w:rsidRDefault="001A33C4">
      <w:pPr>
        <w:numPr>
          <w:ilvl w:val="0"/>
          <w:numId w:val="2"/>
        </w:numPr>
      </w:pPr>
      <w:r>
        <w:rPr>
          <w:szCs w:val="20"/>
        </w:rPr>
        <w:t xml:space="preserve">pozemku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>. č. 760/6 o výměře 184 m</w:t>
      </w:r>
      <w:r>
        <w:rPr>
          <w:szCs w:val="20"/>
          <w:vertAlign w:val="superscript"/>
        </w:rPr>
        <w:t>2</w:t>
      </w:r>
      <w:r>
        <w:rPr>
          <w:szCs w:val="20"/>
        </w:rPr>
        <w:t>, zastavěná plocha a nádvoří,</w:t>
      </w:r>
    </w:p>
    <w:p w14:paraId="36CDCB0F" w14:textId="77777777" w:rsidR="000F297B" w:rsidRDefault="001A33C4">
      <w:pPr>
        <w:numPr>
          <w:ilvl w:val="0"/>
          <w:numId w:val="2"/>
        </w:numPr>
      </w:pPr>
      <w:r>
        <w:rPr>
          <w:szCs w:val="20"/>
        </w:rPr>
        <w:t>jehož součástí je stavba bez č. p./č. e. – garáž,</w:t>
      </w:r>
    </w:p>
    <w:p w14:paraId="0FF3D286" w14:textId="77777777" w:rsidR="000F297B" w:rsidRDefault="001A33C4">
      <w:pPr>
        <w:numPr>
          <w:ilvl w:val="0"/>
          <w:numId w:val="2"/>
        </w:numPr>
      </w:pPr>
      <w:r>
        <w:rPr>
          <w:szCs w:val="20"/>
        </w:rPr>
        <w:t xml:space="preserve">pozemku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>. č. 760/9 o výměře 415 m</w:t>
      </w:r>
      <w:r>
        <w:rPr>
          <w:szCs w:val="20"/>
          <w:vertAlign w:val="superscript"/>
        </w:rPr>
        <w:t>2</w:t>
      </w:r>
      <w:r>
        <w:rPr>
          <w:szCs w:val="20"/>
        </w:rPr>
        <w:t>, ostatní plocha,</w:t>
      </w:r>
    </w:p>
    <w:p w14:paraId="17E00A84" w14:textId="77777777" w:rsidR="000F297B" w:rsidRDefault="001A33C4">
      <w:pPr>
        <w:numPr>
          <w:ilvl w:val="0"/>
          <w:numId w:val="2"/>
        </w:numPr>
      </w:pPr>
      <w:r>
        <w:rPr>
          <w:szCs w:val="20"/>
        </w:rPr>
        <w:t xml:space="preserve">pozemku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>. č. 769/5 o výměře 271 m</w:t>
      </w:r>
      <w:r>
        <w:rPr>
          <w:szCs w:val="20"/>
          <w:vertAlign w:val="superscript"/>
        </w:rPr>
        <w:t>2</w:t>
      </w:r>
      <w:r>
        <w:rPr>
          <w:szCs w:val="20"/>
        </w:rPr>
        <w:t>, ostatní plocha,</w:t>
      </w:r>
    </w:p>
    <w:p w14:paraId="09002766" w14:textId="77777777" w:rsidR="000F297B" w:rsidRDefault="001A33C4">
      <w:pPr>
        <w:numPr>
          <w:ilvl w:val="0"/>
          <w:numId w:val="2"/>
        </w:numPr>
      </w:pPr>
      <w:r>
        <w:rPr>
          <w:szCs w:val="20"/>
        </w:rPr>
        <w:t xml:space="preserve">pozemku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>. č. 770/1 o výměře 9885 m</w:t>
      </w:r>
      <w:r>
        <w:rPr>
          <w:szCs w:val="20"/>
          <w:vertAlign w:val="superscript"/>
        </w:rPr>
        <w:t>2</w:t>
      </w:r>
      <w:r>
        <w:rPr>
          <w:szCs w:val="20"/>
        </w:rPr>
        <w:t>, zastavěná plocha,</w:t>
      </w:r>
    </w:p>
    <w:p w14:paraId="65F4256E" w14:textId="77777777" w:rsidR="000F297B" w:rsidRDefault="001A33C4">
      <w:pPr>
        <w:numPr>
          <w:ilvl w:val="0"/>
          <w:numId w:val="2"/>
        </w:numPr>
      </w:pPr>
      <w:r>
        <w:rPr>
          <w:szCs w:val="20"/>
        </w:rPr>
        <w:t xml:space="preserve">jehož součástí je stavba č. p. </w:t>
      </w:r>
      <w:r>
        <w:rPr>
          <w:szCs w:val="20"/>
        </w:rPr>
        <w:t xml:space="preserve">1147 – stavba </w:t>
      </w:r>
      <w:proofErr w:type="spellStart"/>
      <w:r>
        <w:rPr>
          <w:szCs w:val="20"/>
        </w:rPr>
        <w:t>obč</w:t>
      </w:r>
      <w:proofErr w:type="spellEnd"/>
      <w:r>
        <w:rPr>
          <w:szCs w:val="20"/>
        </w:rPr>
        <w:t>. vybavení,</w:t>
      </w:r>
    </w:p>
    <w:p w14:paraId="624CE1B3" w14:textId="77777777" w:rsidR="000F297B" w:rsidRDefault="001A33C4">
      <w:pPr>
        <w:numPr>
          <w:ilvl w:val="0"/>
          <w:numId w:val="2"/>
        </w:numPr>
      </w:pPr>
      <w:r>
        <w:rPr>
          <w:szCs w:val="20"/>
        </w:rPr>
        <w:t xml:space="preserve">pozemku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>. č. 770/2 o výměře 388 m</w:t>
      </w:r>
      <w:r>
        <w:rPr>
          <w:szCs w:val="20"/>
          <w:vertAlign w:val="superscript"/>
        </w:rPr>
        <w:t>2</w:t>
      </w:r>
      <w:r>
        <w:rPr>
          <w:szCs w:val="20"/>
        </w:rPr>
        <w:t>, ostatní plocha,</w:t>
      </w:r>
    </w:p>
    <w:p w14:paraId="3A7B69B8" w14:textId="77777777" w:rsidR="000F297B" w:rsidRDefault="000F297B">
      <w:pPr>
        <w:rPr>
          <w:szCs w:val="20"/>
        </w:rPr>
      </w:pPr>
    </w:p>
    <w:p w14:paraId="2B937B95" w14:textId="77777777" w:rsidR="000F297B" w:rsidRDefault="001A33C4">
      <w:pPr>
        <w:ind w:left="902"/>
        <w:jc w:val="both"/>
        <w:rPr>
          <w:szCs w:val="20"/>
        </w:rPr>
      </w:pPr>
      <w:r>
        <w:rPr>
          <w:szCs w:val="20"/>
        </w:rPr>
        <w:t xml:space="preserve">zapsaných na listu vlastnictví č. 10001 pro katastrální území Jeseník, obec Jeseník, v katastru nemovitostí vedeném u Katastrálního úřadu pro Olomoucký kraj, Katastrální </w:t>
      </w:r>
      <w:r>
        <w:rPr>
          <w:szCs w:val="20"/>
        </w:rPr>
        <w:t>pracoviště Jeseník, vše na adrese Karla Čapka 1147/10, Jeseník.</w:t>
      </w:r>
    </w:p>
    <w:p w14:paraId="53F8BE65" w14:textId="77777777" w:rsidR="000F297B" w:rsidRDefault="000F297B">
      <w:pPr>
        <w:rPr>
          <w:szCs w:val="20"/>
        </w:rPr>
      </w:pPr>
    </w:p>
    <w:p w14:paraId="08AD1C89" w14:textId="77777777" w:rsidR="000F297B" w:rsidRDefault="001A33C4">
      <w:pPr>
        <w:numPr>
          <w:ilvl w:val="0"/>
          <w:numId w:val="1"/>
        </w:numPr>
      </w:pPr>
      <w:r>
        <w:rPr>
          <w:szCs w:val="20"/>
        </w:rPr>
        <w:t>Tato Smlouva se uzavírá za účelem přenechání dále specifikovaných prostor do užívání Nájemci s cílem zabezpečení prostor pro výkon státní správy Nájemcem.</w:t>
      </w:r>
    </w:p>
    <w:p w14:paraId="742C6033" w14:textId="77777777" w:rsidR="000F297B" w:rsidRDefault="000F297B">
      <w:pPr>
        <w:rPr>
          <w:szCs w:val="20"/>
        </w:rPr>
      </w:pPr>
    </w:p>
    <w:p w14:paraId="657379B7" w14:textId="77777777" w:rsidR="000F297B" w:rsidRDefault="000F297B">
      <w:pPr>
        <w:rPr>
          <w:szCs w:val="20"/>
        </w:rPr>
      </w:pPr>
    </w:p>
    <w:p w14:paraId="1A113E9E" w14:textId="77777777" w:rsidR="000F297B" w:rsidRDefault="000F297B">
      <w:pPr>
        <w:rPr>
          <w:szCs w:val="20"/>
        </w:rPr>
      </w:pPr>
    </w:p>
    <w:p w14:paraId="229C04C6" w14:textId="77777777" w:rsidR="000F297B" w:rsidRDefault="000F297B">
      <w:pPr>
        <w:rPr>
          <w:szCs w:val="20"/>
        </w:rPr>
      </w:pPr>
    </w:p>
    <w:p w14:paraId="566FDD72" w14:textId="77777777" w:rsidR="000F297B" w:rsidRDefault="000F297B">
      <w:pPr>
        <w:rPr>
          <w:szCs w:val="20"/>
        </w:rPr>
      </w:pPr>
    </w:p>
    <w:p w14:paraId="1C8F3D20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lastRenderedPageBreak/>
        <w:t>Článek I.</w:t>
      </w:r>
    </w:p>
    <w:p w14:paraId="3E28BEE1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Předmět a účel </w:t>
      </w:r>
      <w:r>
        <w:rPr>
          <w:b/>
          <w:bCs/>
          <w:szCs w:val="20"/>
        </w:rPr>
        <w:t>nájmu</w:t>
      </w:r>
    </w:p>
    <w:p w14:paraId="3C2F97CD" w14:textId="77777777" w:rsidR="000F297B" w:rsidRDefault="000F297B">
      <w:pPr>
        <w:rPr>
          <w:szCs w:val="20"/>
        </w:rPr>
      </w:pPr>
    </w:p>
    <w:p w14:paraId="08DF7A0E" w14:textId="77777777" w:rsidR="000F297B" w:rsidRDefault="001A33C4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Pronajímatel se na základě této Smlouvy zavazuje přenechat Nájemci k užívání prostory v budovách (stavbách) uvedených v odst. 1) Preambule této Smlouvy (dále jen „</w:t>
      </w:r>
      <w:r>
        <w:rPr>
          <w:b/>
          <w:szCs w:val="20"/>
        </w:rPr>
        <w:t>Budova</w:t>
      </w:r>
      <w:r>
        <w:rPr>
          <w:szCs w:val="20"/>
        </w:rPr>
        <w:t>“), blíže specifikované v Příloze č. 1 této Smlouvy (dále jen „</w:t>
      </w:r>
      <w:r>
        <w:rPr>
          <w:b/>
          <w:szCs w:val="20"/>
        </w:rPr>
        <w:t>Prostory</w:t>
      </w:r>
      <w:r>
        <w:rPr>
          <w:szCs w:val="20"/>
        </w:rPr>
        <w:t>“).</w:t>
      </w:r>
    </w:p>
    <w:p w14:paraId="005A11C1" w14:textId="77777777" w:rsidR="000F297B" w:rsidRDefault="000F297B">
      <w:pPr>
        <w:ind w:left="720"/>
        <w:jc w:val="both"/>
        <w:rPr>
          <w:szCs w:val="20"/>
        </w:rPr>
      </w:pPr>
    </w:p>
    <w:p w14:paraId="1A67C21A" w14:textId="77777777" w:rsidR="000F297B" w:rsidRDefault="001A33C4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Náje</w:t>
      </w:r>
      <w:r>
        <w:rPr>
          <w:szCs w:val="20"/>
        </w:rPr>
        <w:t xml:space="preserve">mce se zavazuje platit Pronajímateli nájemné dle této Smlouvy a plnit veškeré své povinnosti z této Smlouvy vyplývající. </w:t>
      </w:r>
    </w:p>
    <w:p w14:paraId="198E20A3" w14:textId="77777777" w:rsidR="000F297B" w:rsidRDefault="000F297B">
      <w:pPr>
        <w:ind w:left="720"/>
        <w:jc w:val="both"/>
        <w:rPr>
          <w:szCs w:val="20"/>
        </w:rPr>
      </w:pPr>
    </w:p>
    <w:p w14:paraId="7C86D01B" w14:textId="77777777" w:rsidR="000F297B" w:rsidRDefault="001A33C4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Při užívání prostor je Nájemce oprávněn užívat společné prostory v Budově, tj. např. vstupní prostory, schodiště, chodby, sociální za</w:t>
      </w:r>
      <w:r>
        <w:rPr>
          <w:szCs w:val="20"/>
        </w:rPr>
        <w:t>řízení, výtahy, přístupové komunikace.</w:t>
      </w:r>
    </w:p>
    <w:p w14:paraId="5AEA855D" w14:textId="77777777" w:rsidR="000F297B" w:rsidRDefault="000F297B">
      <w:pPr>
        <w:rPr>
          <w:szCs w:val="20"/>
        </w:rPr>
      </w:pPr>
    </w:p>
    <w:p w14:paraId="720B1FDE" w14:textId="77777777" w:rsidR="000F297B" w:rsidRDefault="000F297B">
      <w:pPr>
        <w:rPr>
          <w:szCs w:val="20"/>
        </w:rPr>
      </w:pPr>
    </w:p>
    <w:p w14:paraId="2FD274BF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Článek II.</w:t>
      </w:r>
    </w:p>
    <w:p w14:paraId="37D588D9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Nájemné</w:t>
      </w:r>
    </w:p>
    <w:p w14:paraId="15EFAEEC" w14:textId="77777777" w:rsidR="000F297B" w:rsidRDefault="000F297B">
      <w:pPr>
        <w:rPr>
          <w:color w:val="CE181E"/>
          <w:szCs w:val="20"/>
          <w:highlight w:val="yellow"/>
        </w:rPr>
      </w:pPr>
    </w:p>
    <w:p w14:paraId="27164F28" w14:textId="77777777" w:rsidR="000F297B" w:rsidRDefault="001A33C4">
      <w:pPr>
        <w:numPr>
          <w:ilvl w:val="0"/>
          <w:numId w:val="4"/>
        </w:numPr>
        <w:jc w:val="both"/>
      </w:pPr>
      <w:r>
        <w:rPr>
          <w:szCs w:val="20"/>
        </w:rPr>
        <w:t xml:space="preserve">Nájemné za užívání Prostor dle čl. I. odst. 1) této Smlouvy se sjednává ve výši 1.160,- Kč/1 m²/1 rok kancelářské prostory ve </w:t>
      </w:r>
      <w:r>
        <w:rPr>
          <w:szCs w:val="20"/>
          <w:lang w:val="en-US"/>
        </w:rPr>
        <w:t>1</w:t>
      </w:r>
      <w:r>
        <w:rPr>
          <w:szCs w:val="20"/>
        </w:rPr>
        <w:t xml:space="preserve">.NP, </w:t>
      </w:r>
      <w:r>
        <w:rPr>
          <w:szCs w:val="20"/>
          <w:lang w:val="en-US"/>
        </w:rPr>
        <w:t>1.100</w:t>
      </w:r>
      <w:r>
        <w:rPr>
          <w:szCs w:val="20"/>
        </w:rPr>
        <w:t xml:space="preserve">,- Kč/1 m²/1 </w:t>
      </w:r>
      <w:proofErr w:type="gramStart"/>
      <w:r>
        <w:rPr>
          <w:szCs w:val="20"/>
        </w:rPr>
        <w:t>rok  kancelářské</w:t>
      </w:r>
      <w:proofErr w:type="gramEnd"/>
      <w:r>
        <w:rPr>
          <w:szCs w:val="20"/>
        </w:rPr>
        <w:t xml:space="preserve"> prostory ve </w:t>
      </w:r>
      <w:r>
        <w:rPr>
          <w:szCs w:val="20"/>
          <w:lang w:val="en-US"/>
        </w:rPr>
        <w:t>3</w:t>
      </w:r>
      <w:r>
        <w:rPr>
          <w:szCs w:val="20"/>
        </w:rPr>
        <w:t xml:space="preserve">. </w:t>
      </w:r>
      <w:r>
        <w:rPr>
          <w:szCs w:val="20"/>
          <w:lang w:val="en-US"/>
        </w:rPr>
        <w:t>a 4.</w:t>
      </w:r>
      <w:r>
        <w:rPr>
          <w:szCs w:val="20"/>
        </w:rPr>
        <w:t>NP, 580,-</w:t>
      </w:r>
      <w:r>
        <w:rPr>
          <w:szCs w:val="20"/>
        </w:rPr>
        <w:t xml:space="preserve"> Kč/1 m²/1 rok za ostatní podružné prostory ve </w:t>
      </w:r>
      <w:r>
        <w:rPr>
          <w:szCs w:val="20"/>
          <w:lang w:val="en-US"/>
        </w:rPr>
        <w:t>1</w:t>
      </w:r>
      <w:r>
        <w:rPr>
          <w:szCs w:val="20"/>
        </w:rPr>
        <w:t xml:space="preserve">.NP, 550,- Kč/1 m²/1 rok za ostatní podružné prostory ve </w:t>
      </w:r>
      <w:r>
        <w:rPr>
          <w:szCs w:val="20"/>
          <w:lang w:val="en-US"/>
        </w:rPr>
        <w:t>3</w:t>
      </w:r>
      <w:r>
        <w:rPr>
          <w:szCs w:val="20"/>
        </w:rPr>
        <w:t xml:space="preserve">. </w:t>
      </w:r>
      <w:r>
        <w:rPr>
          <w:szCs w:val="20"/>
          <w:lang w:val="en-US"/>
        </w:rPr>
        <w:t>a 4.</w:t>
      </w:r>
      <w:r>
        <w:rPr>
          <w:szCs w:val="20"/>
        </w:rPr>
        <w:t>NP a 10.800,- Kč/1 garážové stání/1 rok. Ceny jsou stanoveny dle znaleckého posudku číslo 6456/2021 vypracovaného Znaleckým a oceňovacím ústavem</w:t>
      </w:r>
      <w:r>
        <w:rPr>
          <w:szCs w:val="20"/>
        </w:rPr>
        <w:t xml:space="preserve"> s.r.o.  v Prostějově. Z celkové ceny nájemného bude poskytnuta sleva ve výši 5%, protože celková pronajatá plocha je o výměře více než 400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. Celkové roční nájemné činí </w:t>
      </w:r>
      <w:proofErr w:type="gramStart"/>
      <w:r>
        <w:rPr>
          <w:szCs w:val="20"/>
          <w:lang w:val="en-US"/>
        </w:rPr>
        <w:t>1.748.865</w:t>
      </w:r>
      <w:r>
        <w:rPr>
          <w:szCs w:val="20"/>
        </w:rPr>
        <w:t>,-</w:t>
      </w:r>
      <w:proofErr w:type="gramEnd"/>
      <w:r>
        <w:rPr>
          <w:szCs w:val="20"/>
        </w:rPr>
        <w:t xml:space="preserve"> Kč. Nájemné za jeden měsíc činí </w:t>
      </w:r>
      <w:proofErr w:type="gramStart"/>
      <w:r>
        <w:rPr>
          <w:szCs w:val="20"/>
          <w:lang w:val="en-US"/>
        </w:rPr>
        <w:t>145.740</w:t>
      </w:r>
      <w:r>
        <w:rPr>
          <w:szCs w:val="20"/>
        </w:rPr>
        <w:t>,-</w:t>
      </w:r>
      <w:proofErr w:type="gramEnd"/>
      <w:r>
        <w:rPr>
          <w:szCs w:val="20"/>
        </w:rPr>
        <w:t xml:space="preserve"> Kč. K nájemnému se nepřičítá DP</w:t>
      </w:r>
      <w:r>
        <w:rPr>
          <w:szCs w:val="20"/>
        </w:rPr>
        <w:t>H.</w:t>
      </w:r>
    </w:p>
    <w:p w14:paraId="1DE76695" w14:textId="77777777" w:rsidR="000F297B" w:rsidRDefault="000F297B">
      <w:pPr>
        <w:ind w:left="720"/>
        <w:jc w:val="both"/>
        <w:rPr>
          <w:szCs w:val="20"/>
        </w:rPr>
      </w:pPr>
    </w:p>
    <w:p w14:paraId="51572CAF" w14:textId="77777777" w:rsidR="000F297B" w:rsidRDefault="001A33C4">
      <w:pPr>
        <w:numPr>
          <w:ilvl w:val="0"/>
          <w:numId w:val="4"/>
        </w:numPr>
        <w:jc w:val="both"/>
      </w:pPr>
      <w:r>
        <w:rPr>
          <w:szCs w:val="20"/>
        </w:rPr>
        <w:t>Nájemné se hradí vždy měsíčně, bezhotovostně, a to na bankovní účet Pronajímatele u Komerční banky, a. s., č. účtu 43-3820200247/0100, do 10. dne příslušného měsíce na základě ročního předpisu plateb.</w:t>
      </w:r>
    </w:p>
    <w:p w14:paraId="185A0527" w14:textId="77777777" w:rsidR="000F297B" w:rsidRDefault="000F297B">
      <w:pPr>
        <w:ind w:left="720"/>
        <w:jc w:val="both"/>
        <w:rPr>
          <w:szCs w:val="20"/>
        </w:rPr>
      </w:pPr>
    </w:p>
    <w:p w14:paraId="508458E6" w14:textId="77777777" w:rsidR="000F297B" w:rsidRDefault="001A33C4">
      <w:pPr>
        <w:numPr>
          <w:ilvl w:val="0"/>
          <w:numId w:val="4"/>
        </w:numPr>
        <w:jc w:val="both"/>
      </w:pPr>
      <w:r>
        <w:rPr>
          <w:szCs w:val="20"/>
        </w:rPr>
        <w:t>Skončí-li nebo započne-li nájem dle této Smlouvy v</w:t>
      </w:r>
      <w:r>
        <w:rPr>
          <w:szCs w:val="20"/>
        </w:rPr>
        <w:t> průběhu kalendářního měsíce, náleží Pronajímateli pouze poměrná část nájemného za příslušný měsíc.</w:t>
      </w:r>
    </w:p>
    <w:p w14:paraId="00533E15" w14:textId="77777777" w:rsidR="000F297B" w:rsidRDefault="000F297B">
      <w:pPr>
        <w:ind w:left="720"/>
        <w:jc w:val="both"/>
        <w:rPr>
          <w:szCs w:val="20"/>
        </w:rPr>
      </w:pPr>
    </w:p>
    <w:p w14:paraId="14816CE5" w14:textId="77777777" w:rsidR="000F297B" w:rsidRDefault="001A33C4">
      <w:pPr>
        <w:numPr>
          <w:ilvl w:val="0"/>
          <w:numId w:val="4"/>
        </w:numPr>
        <w:jc w:val="both"/>
      </w:pPr>
      <w:r>
        <w:rPr>
          <w:szCs w:val="20"/>
        </w:rPr>
        <w:t>Zaplacením se podle této Smlouvy rozumí připsání příslušné částky na bankovní účet Pronajímatele.</w:t>
      </w:r>
    </w:p>
    <w:p w14:paraId="443B48B0" w14:textId="77777777" w:rsidR="000F297B" w:rsidRDefault="000F297B">
      <w:pPr>
        <w:ind w:left="720"/>
        <w:jc w:val="both"/>
        <w:rPr>
          <w:szCs w:val="20"/>
        </w:rPr>
      </w:pPr>
    </w:p>
    <w:p w14:paraId="31605253" w14:textId="77777777" w:rsidR="000F297B" w:rsidRDefault="001A33C4">
      <w:pPr>
        <w:numPr>
          <w:ilvl w:val="0"/>
          <w:numId w:val="4"/>
        </w:numPr>
        <w:jc w:val="both"/>
      </w:pPr>
      <w:r>
        <w:rPr>
          <w:szCs w:val="20"/>
        </w:rPr>
        <w:t>Platby budou probíhat výhradně v české měně (CZK) a rovn</w:t>
      </w:r>
      <w:r>
        <w:rPr>
          <w:szCs w:val="20"/>
        </w:rPr>
        <w:t>ěž veškeré cenové údaje budou uvedeny v této měně.</w:t>
      </w:r>
    </w:p>
    <w:p w14:paraId="574303A8" w14:textId="77777777" w:rsidR="000F297B" w:rsidRDefault="000F297B">
      <w:pPr>
        <w:ind w:left="720"/>
        <w:jc w:val="both"/>
        <w:rPr>
          <w:szCs w:val="20"/>
        </w:rPr>
      </w:pPr>
    </w:p>
    <w:p w14:paraId="40F02523" w14:textId="77777777" w:rsidR="000F297B" w:rsidRDefault="001A33C4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V případě, že Nájemci bude z důvodu na straně Pronajímatele ztížena nad míru obvyklou možnost užívání Prostor, je Pronajímatel povinen Nájemci poskytnout přiměřenou slevu z nájemného, případně </w:t>
      </w:r>
      <w:r>
        <w:rPr>
          <w:szCs w:val="20"/>
        </w:rPr>
        <w:t>poskytnout odpovídající náhradní prostory pro dočasné zajištění činnosti Nájemce, pokud by bylo užívání Prostor zcela znemožněno.</w:t>
      </w:r>
    </w:p>
    <w:p w14:paraId="57CD9923" w14:textId="77777777" w:rsidR="000F297B" w:rsidRDefault="000F297B">
      <w:pPr>
        <w:rPr>
          <w:szCs w:val="20"/>
        </w:rPr>
      </w:pPr>
    </w:p>
    <w:p w14:paraId="0578C35D" w14:textId="77777777" w:rsidR="000F297B" w:rsidRDefault="000F297B">
      <w:pPr>
        <w:jc w:val="center"/>
        <w:rPr>
          <w:b/>
          <w:bCs/>
          <w:szCs w:val="20"/>
        </w:rPr>
      </w:pPr>
    </w:p>
    <w:p w14:paraId="04EB6CA1" w14:textId="77777777" w:rsidR="000F297B" w:rsidRDefault="001A33C4">
      <w:pPr>
        <w:jc w:val="center"/>
      </w:pPr>
      <w:r>
        <w:rPr>
          <w:b/>
          <w:bCs/>
          <w:szCs w:val="20"/>
        </w:rPr>
        <w:t>Článek III.</w:t>
      </w:r>
    </w:p>
    <w:p w14:paraId="56B3058C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Doba nájmu</w:t>
      </w:r>
    </w:p>
    <w:p w14:paraId="2CE8BA61" w14:textId="77777777" w:rsidR="000F297B" w:rsidRDefault="000F297B">
      <w:pPr>
        <w:rPr>
          <w:szCs w:val="20"/>
        </w:rPr>
      </w:pPr>
    </w:p>
    <w:p w14:paraId="7742F201" w14:textId="77777777" w:rsidR="000F297B" w:rsidRDefault="001A33C4">
      <w:pPr>
        <w:ind w:left="709"/>
        <w:jc w:val="both"/>
      </w:pPr>
      <w:r>
        <w:rPr>
          <w:color w:val="000000" w:themeColor="text1"/>
          <w:szCs w:val="20"/>
        </w:rPr>
        <w:t>Nájem se sjednává na</w:t>
      </w:r>
      <w:r>
        <w:rPr>
          <w:color w:val="000000" w:themeColor="text1"/>
          <w:szCs w:val="20"/>
          <w:lang w:val="en-US"/>
        </w:rPr>
        <w:t xml:space="preserve"> </w:t>
      </w:r>
      <w:r>
        <w:rPr>
          <w:color w:val="000000" w:themeColor="text1"/>
          <w:szCs w:val="20"/>
        </w:rPr>
        <w:t>dobu</w:t>
      </w:r>
      <w:r>
        <w:rPr>
          <w:color w:val="000000" w:themeColor="text1"/>
          <w:szCs w:val="20"/>
          <w:lang w:val="en-US"/>
        </w:rPr>
        <w:t xml:space="preserve"> </w:t>
      </w:r>
      <w:r>
        <w:rPr>
          <w:color w:val="000000" w:themeColor="text1"/>
          <w:szCs w:val="20"/>
        </w:rPr>
        <w:t>určitou</w:t>
      </w:r>
      <w:r>
        <w:rPr>
          <w:color w:val="000000" w:themeColor="text1"/>
          <w:szCs w:val="20"/>
          <w:lang w:val="en-US"/>
        </w:rPr>
        <w:t xml:space="preserve"> </w:t>
      </w:r>
      <w:r>
        <w:rPr>
          <w:color w:val="000000" w:themeColor="text1"/>
          <w:szCs w:val="20"/>
        </w:rPr>
        <w:t xml:space="preserve">od 22. 7. 2021 do doby uplynutí 3 měsíců ode dne, kdy </w:t>
      </w:r>
      <w:proofErr w:type="gramStart"/>
      <w:r>
        <w:rPr>
          <w:color w:val="000000" w:themeColor="text1"/>
          <w:szCs w:val="20"/>
        </w:rPr>
        <w:t>Pronajímatel  doručí</w:t>
      </w:r>
      <w:proofErr w:type="gramEnd"/>
      <w:r>
        <w:rPr>
          <w:color w:val="000000" w:themeColor="text1"/>
          <w:szCs w:val="20"/>
        </w:rPr>
        <w:t xml:space="preserve"> Nájemci  oznámení  o nabytí právní moci kolaudační rozhodnutí/souhlasu nebo obdobného  správního aktu</w:t>
      </w:r>
      <w:r>
        <w:rPr>
          <w:color w:val="000000" w:themeColor="text1"/>
          <w:szCs w:val="20"/>
          <w:lang w:val="en-US"/>
        </w:rPr>
        <w:t xml:space="preserve"> </w:t>
      </w:r>
      <w:r>
        <w:rPr>
          <w:color w:val="000000" w:themeColor="text1"/>
          <w:szCs w:val="20"/>
        </w:rPr>
        <w:t>(pokud se kolaudační rozhodnutí/souhlas nevydává), kterým bude formálně ukončena rekonstrukce interiéru budovy č. p. 1147 v Jeseníku,</w:t>
      </w:r>
      <w:r>
        <w:rPr>
          <w:color w:val="000000" w:themeColor="text1"/>
          <w:szCs w:val="20"/>
        </w:rPr>
        <w:t xml:space="preserve"> ve které se nacházejí Prostory (dále jen budova č.p. 1147). Nebude-li oznámení dle předchozí věty učiněno do 31.  7.  2025, tato Smlouva tímto dnem skončí.  </w:t>
      </w:r>
    </w:p>
    <w:p w14:paraId="5E4AF73D" w14:textId="77777777" w:rsidR="000F297B" w:rsidRDefault="000F297B">
      <w:pPr>
        <w:rPr>
          <w:szCs w:val="20"/>
        </w:rPr>
      </w:pPr>
    </w:p>
    <w:p w14:paraId="7CFBC822" w14:textId="77777777" w:rsidR="000F297B" w:rsidRDefault="000F297B">
      <w:pPr>
        <w:rPr>
          <w:szCs w:val="20"/>
        </w:rPr>
      </w:pPr>
    </w:p>
    <w:p w14:paraId="6239AC8C" w14:textId="77777777" w:rsidR="000F297B" w:rsidRDefault="000F297B">
      <w:pPr>
        <w:rPr>
          <w:szCs w:val="20"/>
        </w:rPr>
      </w:pPr>
    </w:p>
    <w:p w14:paraId="599D5BC9" w14:textId="77777777" w:rsidR="000F297B" w:rsidRDefault="000F297B">
      <w:pPr>
        <w:rPr>
          <w:szCs w:val="20"/>
        </w:rPr>
      </w:pPr>
    </w:p>
    <w:p w14:paraId="04D72190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Článek IV.</w:t>
      </w:r>
    </w:p>
    <w:p w14:paraId="4C2F483C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Služby spojené </w:t>
      </w:r>
      <w:proofErr w:type="gramStart"/>
      <w:r>
        <w:rPr>
          <w:b/>
          <w:bCs/>
          <w:szCs w:val="20"/>
        </w:rPr>
        <w:t>s  užíváním</w:t>
      </w:r>
      <w:proofErr w:type="gramEnd"/>
      <w:r>
        <w:rPr>
          <w:b/>
          <w:bCs/>
          <w:szCs w:val="20"/>
        </w:rPr>
        <w:t xml:space="preserve"> Prostor</w:t>
      </w:r>
    </w:p>
    <w:p w14:paraId="4CF3051B" w14:textId="77777777" w:rsidR="000F297B" w:rsidRDefault="000F297B">
      <w:pPr>
        <w:rPr>
          <w:color w:val="CE181E"/>
          <w:szCs w:val="20"/>
        </w:rPr>
      </w:pPr>
    </w:p>
    <w:p w14:paraId="2217B873" w14:textId="77777777" w:rsidR="000F297B" w:rsidRDefault="001A33C4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Smluvní strany se dohodly, že služby spojené s</w:t>
      </w:r>
      <w:r>
        <w:rPr>
          <w:szCs w:val="20"/>
        </w:rPr>
        <w:t> užíváním Prostor (dále jen „</w:t>
      </w:r>
      <w:r>
        <w:rPr>
          <w:b/>
          <w:szCs w:val="20"/>
        </w:rPr>
        <w:t>Služby</w:t>
      </w:r>
      <w:r>
        <w:rPr>
          <w:szCs w:val="20"/>
        </w:rPr>
        <w:t>“), a to:</w:t>
      </w:r>
    </w:p>
    <w:p w14:paraId="030BCCE0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dodávka elektrické energie,</w:t>
      </w:r>
    </w:p>
    <w:p w14:paraId="76BF7095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dodávka plynu</w:t>
      </w:r>
    </w:p>
    <w:p w14:paraId="294F01B6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dodávka vody a odvod odpadních vod</w:t>
      </w:r>
    </w:p>
    <w:p w14:paraId="57017E27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lastRenderedPageBreak/>
        <w:t>zimní údržba</w:t>
      </w:r>
    </w:p>
    <w:p w14:paraId="6F51929B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odvoz a likvidace běžného komunálního a separovaného odpadu,</w:t>
      </w:r>
    </w:p>
    <w:p w14:paraId="2772287D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hygienické potřeby</w:t>
      </w:r>
    </w:p>
    <w:p w14:paraId="618817B4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 xml:space="preserve">materiál na drobné opravy a údržbu </w:t>
      </w:r>
    </w:p>
    <w:p w14:paraId="3D023B7E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servi</w:t>
      </w:r>
      <w:r>
        <w:rPr>
          <w:szCs w:val="20"/>
        </w:rPr>
        <w:t>s a údržba výtahů</w:t>
      </w:r>
    </w:p>
    <w:p w14:paraId="19B12838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náklady spojené s úklidem</w:t>
      </w:r>
    </w:p>
    <w:p w14:paraId="3C609ED9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náklady na inspekční a informační službu</w:t>
      </w:r>
    </w:p>
    <w:p w14:paraId="61BAAEA4" w14:textId="77777777" w:rsidR="000F297B" w:rsidRDefault="001A33C4">
      <w:pPr>
        <w:numPr>
          <w:ilvl w:val="0"/>
          <w:numId w:val="6"/>
        </w:numPr>
        <w:jc w:val="both"/>
      </w:pPr>
      <w:r>
        <w:rPr>
          <w:szCs w:val="20"/>
        </w:rPr>
        <w:t>náklady na obsluhu kotelny</w:t>
      </w:r>
    </w:p>
    <w:p w14:paraId="51CAB22D" w14:textId="77777777" w:rsidR="000F297B" w:rsidRDefault="001A33C4">
      <w:pPr>
        <w:ind w:left="720"/>
        <w:jc w:val="both"/>
      </w:pPr>
      <w:r>
        <w:rPr>
          <w:szCs w:val="20"/>
        </w:rPr>
        <w:t xml:space="preserve">bude zajišťovat Pronajímatel. Náklady za Služby bude Nájemce hradit dle skutečné spotřeby na základě údajů z podružných měřidel, pokud jsou </w:t>
      </w:r>
      <w:r>
        <w:rPr>
          <w:szCs w:val="20"/>
        </w:rPr>
        <w:t>instalována. Pokud podružná měřidla nejsou dosud instalována a u Služeb, u kterých není z důvodu jejich podstaty možná instalace podružných měřidel (např. úklid), budou náklady hrazeny poměrně, způsobem specifikovaným v Příloze č. 2 této Smlouvy. Náklady n</w:t>
      </w:r>
      <w:r>
        <w:rPr>
          <w:szCs w:val="20"/>
        </w:rPr>
        <w:t>a Služby budou hrazeny zálohově s ročním vyúčtováním.</w:t>
      </w:r>
    </w:p>
    <w:p w14:paraId="68225810" w14:textId="77777777" w:rsidR="000F297B" w:rsidRDefault="000F297B">
      <w:pPr>
        <w:ind w:left="720"/>
        <w:jc w:val="both"/>
        <w:rPr>
          <w:szCs w:val="20"/>
        </w:rPr>
      </w:pPr>
    </w:p>
    <w:p w14:paraId="0899575A" w14:textId="77777777" w:rsidR="000F297B" w:rsidRDefault="001A33C4">
      <w:pPr>
        <w:numPr>
          <w:ilvl w:val="0"/>
          <w:numId w:val="5"/>
        </w:numPr>
        <w:jc w:val="both"/>
      </w:pPr>
      <w:r>
        <w:rPr>
          <w:szCs w:val="20"/>
        </w:rPr>
        <w:t>Měsíční zálohy na Služby jsou splatné bezhotovostně na účet Pronajímatele vedený u Komerční banky, a.s., č. účtu 43-3820200247/0100, variabilní symbol 00006963 na základě ročního předpisu plateb.</w:t>
      </w:r>
    </w:p>
    <w:p w14:paraId="7DB8BCA2" w14:textId="77777777" w:rsidR="000F297B" w:rsidRDefault="000F297B">
      <w:pPr>
        <w:jc w:val="both"/>
        <w:rPr>
          <w:szCs w:val="20"/>
        </w:rPr>
      </w:pPr>
    </w:p>
    <w:p w14:paraId="332981BF" w14:textId="77777777" w:rsidR="000F297B" w:rsidRDefault="001A33C4">
      <w:pPr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Píse</w:t>
      </w:r>
      <w:r>
        <w:rPr>
          <w:szCs w:val="20"/>
        </w:rPr>
        <w:t>mné vyúčtování nákladů spojených se zajišťováním Služeb za příslušný kalendářní rok zašle Pronajímatel Nájemci vždy do konce prvního čtvrtletí následujícího kalendářního roku, a to na adresu Nájemce uvedenou v záhlaví této Smlouvy. Součástí vyúčtování nákl</w:t>
      </w:r>
      <w:r>
        <w:rPr>
          <w:szCs w:val="20"/>
        </w:rPr>
        <w:t xml:space="preserve">adů bude i podrobný výpočet dle Přílohy č. 2 této Smlouvy. Případný nedoplatek uhradí Nájemce Pronajímateli do 30. 4. následujícího kalendářního roku na účet Pronajímatele. Případný přeplatek vrátí Pronajímatel Nájemci do 30. 4. následujícího kalendářního </w:t>
      </w:r>
      <w:r>
        <w:rPr>
          <w:szCs w:val="20"/>
        </w:rPr>
        <w:t>roku po předání či odeslání vyúčtování Nájemci na jeho bankovní účet, uvedený v záhlaví této Smlouvy. Podklady pro vyúčtování nákladů za Služby jsou uloženy u Pronajímatele.</w:t>
      </w:r>
    </w:p>
    <w:p w14:paraId="5A634FA1" w14:textId="77777777" w:rsidR="000F297B" w:rsidRDefault="000F297B">
      <w:pPr>
        <w:ind w:left="720"/>
        <w:jc w:val="both"/>
        <w:rPr>
          <w:szCs w:val="20"/>
        </w:rPr>
      </w:pPr>
    </w:p>
    <w:p w14:paraId="2EF2CC20" w14:textId="77777777" w:rsidR="000F297B" w:rsidRDefault="001A33C4">
      <w:pPr>
        <w:numPr>
          <w:ilvl w:val="0"/>
          <w:numId w:val="5"/>
        </w:numPr>
        <w:jc w:val="both"/>
      </w:pPr>
      <w:r>
        <w:rPr>
          <w:szCs w:val="20"/>
        </w:rPr>
        <w:t>Skončí-li doba nájmu v průběhu kalendářního měsíce, náleží Pronajímateli pouze po</w:t>
      </w:r>
      <w:r>
        <w:rPr>
          <w:szCs w:val="20"/>
        </w:rPr>
        <w:t>měrná část měsíčních záloh. Písemné vyúčtování nákladů spojených se zajišťováním Služeb za příslušný kalendářní rok zašle Pronajímatel Nájemci do konce prvního čtvrtletí následujícího kalendářního roku, a to na adresu Nájemce uvedenou v záhlaví této Smlouv</w:t>
      </w:r>
      <w:r>
        <w:rPr>
          <w:szCs w:val="20"/>
        </w:rPr>
        <w:t>y.</w:t>
      </w:r>
    </w:p>
    <w:p w14:paraId="338DAC09" w14:textId="77777777" w:rsidR="000F297B" w:rsidRDefault="000F297B">
      <w:pPr>
        <w:ind w:left="720"/>
        <w:jc w:val="both"/>
        <w:rPr>
          <w:szCs w:val="20"/>
        </w:rPr>
      </w:pPr>
    </w:p>
    <w:p w14:paraId="5D0DA8E3" w14:textId="77777777" w:rsidR="000F297B" w:rsidRDefault="001A33C4">
      <w:pPr>
        <w:numPr>
          <w:ilvl w:val="0"/>
          <w:numId w:val="5"/>
        </w:numPr>
        <w:jc w:val="both"/>
      </w:pPr>
      <w:r>
        <w:rPr>
          <w:szCs w:val="20"/>
        </w:rPr>
        <w:t>Pokud po ročním vyúčtování záloh na náhradu nákladů za Služby souhrn měsíčních záloh, které měly být poskytnuty, nedosáhne 95 % výše vyúčtované náhrady nákladů, zvýší se měsíční zálohy tak, aby jejich roční souhrn dosáhl výše vyúčtované náhrady nákladů</w:t>
      </w:r>
      <w:r>
        <w:rPr>
          <w:szCs w:val="20"/>
        </w:rPr>
        <w:t xml:space="preserve"> za předcházející kalendářní rok. Takto upravenou výši měsíčních záloh Pronajímatel uplatní písemným oznámením, doručeným Nájemci nejméně 1 kalendářní měsíc před předpokládanou změnou. Smluvní strany se dohodly, že o této změně nebude uzavírán dodatek k té</w:t>
      </w:r>
      <w:r>
        <w:rPr>
          <w:szCs w:val="20"/>
        </w:rPr>
        <w:t>to Smlouvě.</w:t>
      </w:r>
    </w:p>
    <w:p w14:paraId="70150193" w14:textId="77777777" w:rsidR="000F297B" w:rsidRDefault="000F297B">
      <w:pPr>
        <w:rPr>
          <w:szCs w:val="20"/>
        </w:rPr>
      </w:pPr>
    </w:p>
    <w:p w14:paraId="70EA60EE" w14:textId="77777777" w:rsidR="000F297B" w:rsidRDefault="000F297B">
      <w:pPr>
        <w:rPr>
          <w:szCs w:val="20"/>
        </w:rPr>
      </w:pPr>
    </w:p>
    <w:p w14:paraId="6A958677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Článek V.</w:t>
      </w:r>
    </w:p>
    <w:p w14:paraId="055474C0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Práva a povinnosti Smluvních stran</w:t>
      </w:r>
    </w:p>
    <w:p w14:paraId="140FA459" w14:textId="77777777" w:rsidR="000F297B" w:rsidRDefault="000F297B">
      <w:pPr>
        <w:rPr>
          <w:szCs w:val="20"/>
        </w:rPr>
      </w:pPr>
    </w:p>
    <w:p w14:paraId="37209F75" w14:textId="77777777" w:rsidR="000F297B" w:rsidRDefault="001A33C4">
      <w:pPr>
        <w:numPr>
          <w:ilvl w:val="0"/>
          <w:numId w:val="7"/>
        </w:numPr>
        <w:jc w:val="both"/>
      </w:pPr>
      <w:r>
        <w:rPr>
          <w:szCs w:val="20"/>
        </w:rPr>
        <w:t>Nájemce podpisem této Smlouvy stvrzuje, že je mu stav pronajatých Prostor dobře znám, neboť je do současné doby užíval a všechny jsou ve stavu způsobilém k řádnému dalšímu užívání dle této Smlouvy</w:t>
      </w:r>
      <w:r>
        <w:rPr>
          <w:szCs w:val="20"/>
        </w:rPr>
        <w:t xml:space="preserve"> a že jej Pronajímatel seznámil s pravidly, která je třeba při užívání pronajatých Prostor zachovávat. Nájemce se zavazuje dodržovat pravidla stanovená provozním řádem Budovy, se kterým bude prokazatelně seznámen a který tvoří Přílohu č. 3 této Smlouvy. </w:t>
      </w:r>
    </w:p>
    <w:p w14:paraId="79921D06" w14:textId="77777777" w:rsidR="000F297B" w:rsidRDefault="000F297B">
      <w:pPr>
        <w:ind w:left="720"/>
        <w:jc w:val="both"/>
        <w:rPr>
          <w:szCs w:val="20"/>
        </w:rPr>
      </w:pPr>
    </w:p>
    <w:p w14:paraId="757060FE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Nájemce bere na vědomí, že bez předchozího písemného souhlasu Pronajímatele nesmí pronajaté Prostory přenechat k užívání třetí osobě, a to ani zčásti. </w:t>
      </w:r>
    </w:p>
    <w:p w14:paraId="7345ED2D" w14:textId="77777777" w:rsidR="000F297B" w:rsidRDefault="000F297B">
      <w:pPr>
        <w:ind w:left="720"/>
        <w:jc w:val="both"/>
        <w:rPr>
          <w:szCs w:val="20"/>
        </w:rPr>
      </w:pPr>
    </w:p>
    <w:p w14:paraId="5CA8CFC2" w14:textId="77777777" w:rsidR="000F297B" w:rsidRDefault="001A33C4">
      <w:pPr>
        <w:numPr>
          <w:ilvl w:val="0"/>
          <w:numId w:val="7"/>
        </w:numPr>
        <w:jc w:val="both"/>
      </w:pPr>
      <w:r>
        <w:rPr>
          <w:szCs w:val="20"/>
        </w:rPr>
        <w:t>Pronajaté Prostory může Nájemce užívat přiměřeně jejich povaze a stavebnímu určení a nesmí při tom doch</w:t>
      </w:r>
      <w:r>
        <w:rPr>
          <w:szCs w:val="20"/>
        </w:rPr>
        <w:t>ázet k jejich poškození nebo nepřiměřenému opotřebení. Pronajaté Prostory nesmí být využívány k výrobě, manipulaci a skladování výbušnin, prudce hořlavých materiálů, jedů, drog a k dalším činnostem, které ohrožují nebo negativně působí na životní prostředí</w:t>
      </w:r>
      <w:r>
        <w:rPr>
          <w:szCs w:val="20"/>
        </w:rPr>
        <w:t xml:space="preserve"> (zejm. prašností, hlukem nebo exhalacemi). </w:t>
      </w:r>
    </w:p>
    <w:p w14:paraId="53371B6B" w14:textId="77777777" w:rsidR="000F297B" w:rsidRDefault="000F297B">
      <w:pPr>
        <w:ind w:left="720"/>
        <w:jc w:val="both"/>
        <w:rPr>
          <w:szCs w:val="20"/>
        </w:rPr>
      </w:pPr>
    </w:p>
    <w:p w14:paraId="0423BED4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Jakékoliv stavební úpravy Prostor je Nájemce oprávněn provádět pouze s předchozím písemným souhlasem Pronajímatele. </w:t>
      </w:r>
    </w:p>
    <w:p w14:paraId="6A5C6E28" w14:textId="77777777" w:rsidR="000F297B" w:rsidRDefault="000F297B">
      <w:pPr>
        <w:ind w:left="720"/>
        <w:jc w:val="both"/>
        <w:rPr>
          <w:szCs w:val="20"/>
        </w:rPr>
      </w:pPr>
    </w:p>
    <w:p w14:paraId="76FAD5A3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Nájemce je povinen provádět běžnou údržbu pronajatých Prostor a také hradit náklady na oprav</w:t>
      </w:r>
      <w:r>
        <w:rPr>
          <w:szCs w:val="20"/>
        </w:rPr>
        <w:t xml:space="preserve">y poškození pronajatých Prostor, které vznikly v souvislosti s jeho činností. </w:t>
      </w:r>
    </w:p>
    <w:p w14:paraId="0FE2B7A4" w14:textId="77777777" w:rsidR="000F297B" w:rsidRDefault="000F297B">
      <w:pPr>
        <w:ind w:left="720"/>
        <w:jc w:val="both"/>
        <w:rPr>
          <w:szCs w:val="20"/>
        </w:rPr>
      </w:pPr>
    </w:p>
    <w:p w14:paraId="07ABD7F0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lastRenderedPageBreak/>
        <w:t xml:space="preserve">Potřebu oprav, které přesahují běžnou údržbu nebo zasahují do stavební podstaty Budovy, je Nájemce povinen oznámit bez zbytečného odkladu Pronajímateli a umožnit mu </w:t>
      </w:r>
      <w:r>
        <w:rPr>
          <w:szCs w:val="20"/>
        </w:rPr>
        <w:t>provedení těchto oprav.</w:t>
      </w:r>
    </w:p>
    <w:p w14:paraId="6687BEFE" w14:textId="77777777" w:rsidR="000F297B" w:rsidRDefault="000F297B">
      <w:pPr>
        <w:ind w:left="720"/>
        <w:jc w:val="both"/>
        <w:rPr>
          <w:szCs w:val="20"/>
        </w:rPr>
      </w:pPr>
    </w:p>
    <w:p w14:paraId="00B707F2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Nájemce je povinen při své činnosti dodržovat všechny hygienické, bezpečnostní, ekologické, protipožární a další předpisy, včetně provádění školení svých zaměstnanců a osob v obdobném postavení v oblasti požární ochrany a </w:t>
      </w:r>
      <w:r>
        <w:rPr>
          <w:szCs w:val="20"/>
        </w:rPr>
        <w:t>bezpečnosti a ochrany zdraví při práci a vedení jejich evidence v souladu s příslušnými předpisy. Současně je Nájemce povinen chovat se tak, aby svou činností nerušil ostatní subjekty v Budově, jsou-li takové.</w:t>
      </w:r>
    </w:p>
    <w:p w14:paraId="08B87116" w14:textId="77777777" w:rsidR="000F297B" w:rsidRDefault="000F297B">
      <w:pPr>
        <w:ind w:left="720"/>
        <w:jc w:val="both"/>
        <w:rPr>
          <w:szCs w:val="20"/>
        </w:rPr>
      </w:pPr>
    </w:p>
    <w:p w14:paraId="26D705E1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K zajištění ochrany majetku a zdraví v Budově</w:t>
      </w:r>
      <w:r>
        <w:rPr>
          <w:szCs w:val="20"/>
        </w:rPr>
        <w:t xml:space="preserve"> uloží Nájemce u Pronajímatele při protokolárním převzetí pronajatých Prostor na počátku nájmu náhradní klíče od pronajatých Prostor. Proti zneužití náhradních klíčů je Nájemce před uložením zapečetí v obálce. Nájemce je oprávněn kontrolovat stav pečeti ná</w:t>
      </w:r>
      <w:r>
        <w:rPr>
          <w:szCs w:val="20"/>
        </w:rPr>
        <w:t xml:space="preserve">hradních klíčů. Tyto náhradní klíče lze použít pouze v případě nezbytné potřeby při ochraně majetku a zdraví (zejména havárie a </w:t>
      </w:r>
      <w:proofErr w:type="gramStart"/>
      <w:r>
        <w:rPr>
          <w:szCs w:val="20"/>
        </w:rPr>
        <w:t>živelné</w:t>
      </w:r>
      <w:proofErr w:type="gramEnd"/>
      <w:r>
        <w:rPr>
          <w:szCs w:val="20"/>
        </w:rPr>
        <w:t xml:space="preserve"> pohromy). O případném použití náhradních klíčů je Pronajímatel povinen Nájemce informovat předem, popřípadě neprodleně p</w:t>
      </w:r>
      <w:r>
        <w:rPr>
          <w:szCs w:val="20"/>
        </w:rPr>
        <w:t>o použití těchto klíčů.</w:t>
      </w:r>
    </w:p>
    <w:p w14:paraId="22094026" w14:textId="77777777" w:rsidR="000F297B" w:rsidRDefault="000F297B">
      <w:pPr>
        <w:ind w:left="720"/>
        <w:jc w:val="both"/>
        <w:rPr>
          <w:szCs w:val="20"/>
        </w:rPr>
      </w:pPr>
    </w:p>
    <w:p w14:paraId="57EEC4DD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Nájemce je povinen umožnit Pronajímateli na jeho písemnou žádost vstup do pronajatých Prostor, zejména za účelem kontroly dodržování podmínek této Smlouvy, provádění nutných oprav nebo provádění kontroly instalovaných inženýrských </w:t>
      </w:r>
      <w:r>
        <w:rPr>
          <w:szCs w:val="20"/>
        </w:rPr>
        <w:t xml:space="preserve">sítí. </w:t>
      </w:r>
    </w:p>
    <w:p w14:paraId="7E032650" w14:textId="77777777" w:rsidR="000F297B" w:rsidRDefault="000F297B">
      <w:pPr>
        <w:ind w:left="720"/>
        <w:jc w:val="both"/>
        <w:rPr>
          <w:szCs w:val="20"/>
        </w:rPr>
      </w:pPr>
    </w:p>
    <w:p w14:paraId="59E1D348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Pronajímatel umožní přístup do Budovy klientům Nájemce.</w:t>
      </w:r>
    </w:p>
    <w:p w14:paraId="477353B0" w14:textId="77777777" w:rsidR="000F297B" w:rsidRDefault="000F297B">
      <w:pPr>
        <w:ind w:left="720"/>
        <w:jc w:val="both"/>
        <w:rPr>
          <w:szCs w:val="20"/>
        </w:rPr>
      </w:pPr>
    </w:p>
    <w:p w14:paraId="2E5E5B4F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Nájemce může na své náklady umístit na viditelném místě v prostoru hlavního vchodu Budovy své vhodné označení a vývěsku ke zveřejňování informací podle zákona č. 106/1999 Sb., o svobodném pří</w:t>
      </w:r>
      <w:r>
        <w:rPr>
          <w:szCs w:val="20"/>
        </w:rPr>
        <w:t xml:space="preserve">stupu k informacím, ve znění pozdějších předpisů. Umístěné označení musí být v souladu s obecně závaznými právními předpisy a Nájemce vše umístí na místě písemně odsouhlaseném Pronajímatelem. Pronajímatel umožní Nájemci využití úřední desky před Budovou. </w:t>
      </w:r>
    </w:p>
    <w:p w14:paraId="74E1AD67" w14:textId="77777777" w:rsidR="000F297B" w:rsidRDefault="000F297B">
      <w:pPr>
        <w:ind w:left="720"/>
        <w:jc w:val="both"/>
        <w:rPr>
          <w:szCs w:val="20"/>
        </w:rPr>
      </w:pPr>
    </w:p>
    <w:p w14:paraId="10C6421B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Za organizaci a zajištění požární ochrany, bezpečnosti a ochrany zdraví při práci, ochrany životního prostředí a hygieny v souladu s platnými a účinnými předpisy v Budově odpovídá Pronajímatel. Pronajímatel je oprávněn kontrolovat dodržování platných před</w:t>
      </w:r>
      <w:r>
        <w:rPr>
          <w:szCs w:val="20"/>
        </w:rPr>
        <w:t>pisů v pronajatých Prostorách.</w:t>
      </w:r>
    </w:p>
    <w:p w14:paraId="20E2B8B0" w14:textId="77777777" w:rsidR="000F297B" w:rsidRDefault="000F297B">
      <w:pPr>
        <w:ind w:left="720"/>
        <w:jc w:val="both"/>
        <w:rPr>
          <w:szCs w:val="20"/>
        </w:rPr>
      </w:pPr>
    </w:p>
    <w:p w14:paraId="34D3F83A" w14:textId="77777777" w:rsidR="000F297B" w:rsidRDefault="001A33C4">
      <w:pPr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Pronajímatel je povinen umožnit bezbariérový přístup do Prostor Nájemce. </w:t>
      </w:r>
    </w:p>
    <w:p w14:paraId="42E69D11" w14:textId="77777777" w:rsidR="000F297B" w:rsidRDefault="000F297B">
      <w:pPr>
        <w:ind w:left="720"/>
        <w:jc w:val="both"/>
        <w:rPr>
          <w:szCs w:val="20"/>
        </w:rPr>
      </w:pPr>
    </w:p>
    <w:p w14:paraId="24246068" w14:textId="77777777" w:rsidR="000F297B" w:rsidRDefault="001A33C4">
      <w:pPr>
        <w:numPr>
          <w:ilvl w:val="0"/>
          <w:numId w:val="7"/>
        </w:numPr>
        <w:jc w:val="both"/>
      </w:pPr>
      <w:r>
        <w:rPr>
          <w:szCs w:val="20"/>
        </w:rPr>
        <w:t>Nájemce je povinen po skončení nájmu Prostory vyklidit a vrátit Pronajímateli ve stavu odpovídajícím obvyklému opotřebení do 15 dnů po skončení nájmu</w:t>
      </w:r>
      <w:r>
        <w:rPr>
          <w:szCs w:val="20"/>
        </w:rPr>
        <w:t>. O faktickém předání</w:t>
      </w:r>
      <w:r>
        <w:rPr>
          <w:szCs w:val="20"/>
        </w:rPr>
        <w:br/>
        <w:t>a převzetí Prostor bude Smluvními stranami sepsán protokol (zápis) o předání a převzetí Prostor, ve kterém bude uveden jejich stav.</w:t>
      </w:r>
    </w:p>
    <w:p w14:paraId="22933758" w14:textId="77777777" w:rsidR="000F297B" w:rsidRDefault="000F297B">
      <w:pPr>
        <w:rPr>
          <w:szCs w:val="20"/>
        </w:rPr>
      </w:pPr>
    </w:p>
    <w:p w14:paraId="04BF0257" w14:textId="77777777" w:rsidR="000F297B" w:rsidRDefault="000F297B">
      <w:pPr>
        <w:rPr>
          <w:szCs w:val="20"/>
        </w:rPr>
      </w:pPr>
    </w:p>
    <w:p w14:paraId="2EC96F24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Článek VI.</w:t>
      </w:r>
    </w:p>
    <w:p w14:paraId="00B98003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Úrok z prodlení a náhrada škody</w:t>
      </w:r>
    </w:p>
    <w:p w14:paraId="6770B4F3" w14:textId="77777777" w:rsidR="000F297B" w:rsidRDefault="000F297B">
      <w:pPr>
        <w:rPr>
          <w:szCs w:val="20"/>
        </w:rPr>
      </w:pPr>
    </w:p>
    <w:p w14:paraId="69DAC184" w14:textId="77777777" w:rsidR="000F297B" w:rsidRDefault="001A33C4">
      <w:pPr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Neuhradí-li Nájemce včas splatné nájemné, zálohy na Služ</w:t>
      </w:r>
      <w:r>
        <w:rPr>
          <w:szCs w:val="20"/>
        </w:rPr>
        <w:t>by nebo oprávněně vystavené daňové doklady (faktury), má Pronajímatel právo požadovat po Nájemci úrok z prodlení ve výši podle nařízení vlády č. 351/2013 Sb., kterým se určuje výše úroků z prodlení a nákladů spojených s uplatněním pohledávky, určuje odměna</w:t>
      </w:r>
      <w:r>
        <w:rPr>
          <w:szCs w:val="20"/>
        </w:rPr>
        <w:t xml:space="preserve">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majitelích, ve z</w:t>
      </w:r>
      <w:r>
        <w:rPr>
          <w:szCs w:val="20"/>
        </w:rPr>
        <w:t>nění pozdějších předpisů.</w:t>
      </w:r>
    </w:p>
    <w:p w14:paraId="083ED832" w14:textId="77777777" w:rsidR="000F297B" w:rsidRDefault="000F297B">
      <w:pPr>
        <w:ind w:left="720"/>
        <w:jc w:val="both"/>
        <w:rPr>
          <w:szCs w:val="20"/>
        </w:rPr>
      </w:pPr>
    </w:p>
    <w:p w14:paraId="6DF8B793" w14:textId="77777777" w:rsidR="000F297B" w:rsidRDefault="001A33C4">
      <w:pPr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 xml:space="preserve">Pronajímatel je oprávněn požadovat na Nájemci a Nájemce je povinen poskytnout Pronajímateli náhradu škody, kterou Nájemce způsobil Pronajímateli porušením povinnosti dané touto Smlouvou nebo v souvislosti s plněním této Smlouvy. </w:t>
      </w:r>
      <w:r>
        <w:rPr>
          <w:szCs w:val="20"/>
        </w:rPr>
        <w:t xml:space="preserve">Jakékoliv omezení výše či druhu náhrady škody není přípustné. Škoda se hradí v penězích, případně uvedením do předešlého stavu, podle volby Pronajímatele v každém konkrétním případě. </w:t>
      </w:r>
    </w:p>
    <w:p w14:paraId="79A77231" w14:textId="77777777" w:rsidR="000F297B" w:rsidRDefault="000F297B">
      <w:pPr>
        <w:ind w:left="720"/>
        <w:rPr>
          <w:szCs w:val="20"/>
        </w:rPr>
      </w:pPr>
    </w:p>
    <w:p w14:paraId="27D4C24E" w14:textId="77777777" w:rsidR="000F297B" w:rsidRDefault="000F297B">
      <w:pPr>
        <w:rPr>
          <w:szCs w:val="20"/>
        </w:rPr>
      </w:pPr>
    </w:p>
    <w:p w14:paraId="282EF198" w14:textId="77777777" w:rsidR="000F297B" w:rsidRDefault="000F297B">
      <w:pPr>
        <w:rPr>
          <w:szCs w:val="20"/>
        </w:rPr>
      </w:pPr>
    </w:p>
    <w:p w14:paraId="2BF72418" w14:textId="77777777" w:rsidR="000F297B" w:rsidRDefault="000F297B">
      <w:pPr>
        <w:jc w:val="center"/>
        <w:rPr>
          <w:b/>
          <w:bCs/>
          <w:szCs w:val="20"/>
        </w:rPr>
      </w:pPr>
    </w:p>
    <w:p w14:paraId="43307852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Článek VII.</w:t>
      </w:r>
    </w:p>
    <w:p w14:paraId="3584C632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Ukončení nájmu</w:t>
      </w:r>
    </w:p>
    <w:p w14:paraId="41B42EED" w14:textId="77777777" w:rsidR="000F297B" w:rsidRDefault="000F297B">
      <w:pPr>
        <w:rPr>
          <w:szCs w:val="20"/>
        </w:rPr>
      </w:pPr>
    </w:p>
    <w:p w14:paraId="38790DDE" w14:textId="77777777" w:rsidR="000F297B" w:rsidRDefault="001A33C4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lastRenderedPageBreak/>
        <w:t xml:space="preserve">Nájem je možné kdykoliv ukončit </w:t>
      </w:r>
      <w:r>
        <w:rPr>
          <w:szCs w:val="20"/>
        </w:rPr>
        <w:t>písemnou, oboustranně podepsanou, dohodou Smluvních stran.</w:t>
      </w:r>
    </w:p>
    <w:p w14:paraId="1715DA56" w14:textId="77777777" w:rsidR="000F297B" w:rsidRDefault="000F297B">
      <w:pPr>
        <w:ind w:left="720"/>
        <w:jc w:val="both"/>
        <w:rPr>
          <w:szCs w:val="20"/>
        </w:rPr>
      </w:pPr>
    </w:p>
    <w:p w14:paraId="3C65E32B" w14:textId="77777777" w:rsidR="000F297B" w:rsidRDefault="001A33C4">
      <w:pPr>
        <w:pStyle w:val="Odstavecseseznamem"/>
        <w:numPr>
          <w:ilvl w:val="0"/>
          <w:numId w:val="9"/>
        </w:numPr>
        <w:jc w:val="both"/>
      </w:pPr>
      <w:r>
        <w:rPr>
          <w:szCs w:val="20"/>
        </w:rPr>
        <w:t>Smluvní strany jsou oprávněny ukončit tuto Smlouvu z důvodů uvedených v OZ.</w:t>
      </w:r>
    </w:p>
    <w:p w14:paraId="2BC8BEDD" w14:textId="77777777" w:rsidR="000F297B" w:rsidRDefault="000F297B">
      <w:pPr>
        <w:pStyle w:val="Odstavecseseznamem"/>
        <w:ind w:left="1440"/>
        <w:jc w:val="both"/>
        <w:rPr>
          <w:szCs w:val="20"/>
        </w:rPr>
      </w:pPr>
    </w:p>
    <w:p w14:paraId="4F4F00BF" w14:textId="77777777" w:rsidR="000F297B" w:rsidRDefault="001A33C4">
      <w:pPr>
        <w:pStyle w:val="Odstavecseseznamem"/>
        <w:numPr>
          <w:ilvl w:val="0"/>
          <w:numId w:val="9"/>
        </w:numPr>
        <w:jc w:val="both"/>
      </w:pPr>
      <w:r>
        <w:rPr>
          <w:szCs w:val="20"/>
        </w:rPr>
        <w:t>Nájemce je oprávněn tuto Smlouvu vypovědět i před uplynutím ujednané doby</w:t>
      </w:r>
    </w:p>
    <w:p w14:paraId="24DC7EC6" w14:textId="77777777" w:rsidR="000F297B" w:rsidRDefault="001A33C4">
      <w:pPr>
        <w:pStyle w:val="l9"/>
        <w:ind w:left="709"/>
        <w:jc w:val="both"/>
      </w:pPr>
      <w:r>
        <w:rPr>
          <w:rStyle w:val="PromnnHTML"/>
          <w:rFonts w:ascii="Cambria" w:hAnsi="Cambria" w:cstheme="minorHAnsi"/>
          <w:sz w:val="20"/>
          <w:szCs w:val="20"/>
        </w:rPr>
        <w:t>a)</w:t>
      </w:r>
      <w:r>
        <w:rPr>
          <w:rFonts w:ascii="Cambria" w:hAnsi="Cambria" w:cstheme="minorHAnsi"/>
          <w:sz w:val="20"/>
          <w:szCs w:val="20"/>
        </w:rPr>
        <w:t xml:space="preserve"> přestanou-li být Prostory způsobilé k výko</w:t>
      </w:r>
      <w:r>
        <w:rPr>
          <w:rFonts w:ascii="Cambria" w:hAnsi="Cambria" w:cstheme="minorHAnsi"/>
          <w:sz w:val="20"/>
          <w:szCs w:val="20"/>
        </w:rPr>
        <w:t>nu činnosti Nájemce a Pronajímatel nezajistí Nájemci odpovídající náhradní prostor, nebo</w:t>
      </w:r>
    </w:p>
    <w:p w14:paraId="39F82E2C" w14:textId="77777777" w:rsidR="000F297B" w:rsidRDefault="001A33C4">
      <w:pPr>
        <w:pStyle w:val="l9"/>
        <w:ind w:firstLine="709"/>
        <w:jc w:val="both"/>
        <w:rPr>
          <w:rFonts w:ascii="Cambria" w:hAnsi="Cambria" w:cstheme="minorHAnsi"/>
          <w:sz w:val="20"/>
          <w:szCs w:val="20"/>
          <w:highlight w:val="yellow"/>
        </w:rPr>
      </w:pPr>
      <w:r>
        <w:rPr>
          <w:rStyle w:val="PromnnHTML"/>
          <w:rFonts w:ascii="Cambria" w:hAnsi="Cambria" w:cstheme="minorHAnsi"/>
          <w:sz w:val="20"/>
          <w:szCs w:val="20"/>
        </w:rPr>
        <w:t>b)</w:t>
      </w:r>
      <w:r>
        <w:rPr>
          <w:rFonts w:ascii="Cambria" w:hAnsi="Cambria" w:cstheme="minorHAnsi"/>
          <w:sz w:val="20"/>
          <w:szCs w:val="20"/>
        </w:rPr>
        <w:t xml:space="preserve"> porušuje-li Pronajímatel hrubě své povinnosti vůči Nájemci.</w:t>
      </w:r>
    </w:p>
    <w:p w14:paraId="01102953" w14:textId="77777777" w:rsidR="000F297B" w:rsidRDefault="001A33C4">
      <w:pPr>
        <w:ind w:left="720"/>
        <w:jc w:val="both"/>
      </w:pPr>
      <w:r>
        <w:t>Výpovědní doba je 12</w:t>
      </w:r>
      <w:r>
        <w:rPr>
          <w:color w:val="FF0000"/>
        </w:rPr>
        <w:t xml:space="preserve"> </w:t>
      </w:r>
      <w:proofErr w:type="gramStart"/>
      <w:r>
        <w:t>měsíců</w:t>
      </w:r>
      <w:r>
        <w:rPr>
          <w:color w:val="FF0000"/>
        </w:rPr>
        <w:t xml:space="preserve"> </w:t>
      </w:r>
      <w:r>
        <w:t xml:space="preserve"> a</w:t>
      </w:r>
      <w:proofErr w:type="gramEnd"/>
      <w:r>
        <w:t xml:space="preserve"> počíná běžet prvním dnem měsíce následujícího po doručení výpovědi.</w:t>
      </w:r>
    </w:p>
    <w:p w14:paraId="640E18BC" w14:textId="77777777" w:rsidR="000F297B" w:rsidRDefault="000F297B">
      <w:pPr>
        <w:ind w:left="720"/>
        <w:jc w:val="both"/>
        <w:rPr>
          <w:szCs w:val="20"/>
        </w:rPr>
      </w:pPr>
    </w:p>
    <w:p w14:paraId="0BD7DE5C" w14:textId="77777777" w:rsidR="000F297B" w:rsidRDefault="000F297B">
      <w:pPr>
        <w:pStyle w:val="Odstavecseseznamem"/>
        <w:rPr>
          <w:szCs w:val="20"/>
        </w:rPr>
      </w:pPr>
    </w:p>
    <w:p w14:paraId="737A2A3D" w14:textId="77777777" w:rsidR="000F297B" w:rsidRDefault="001A33C4">
      <w:pPr>
        <w:jc w:val="center"/>
        <w:rPr>
          <w:b/>
          <w:szCs w:val="20"/>
        </w:rPr>
      </w:pPr>
      <w:r>
        <w:rPr>
          <w:b/>
          <w:szCs w:val="20"/>
        </w:rPr>
        <w:t>Člá</w:t>
      </w:r>
      <w:r>
        <w:rPr>
          <w:b/>
          <w:szCs w:val="20"/>
        </w:rPr>
        <w:t>nek VIII.</w:t>
      </w:r>
    </w:p>
    <w:p w14:paraId="30B3568E" w14:textId="77777777" w:rsidR="000F297B" w:rsidRDefault="001A33C4">
      <w:pPr>
        <w:jc w:val="center"/>
      </w:pPr>
      <w:r>
        <w:rPr>
          <w:b/>
          <w:szCs w:val="20"/>
        </w:rPr>
        <w:t xml:space="preserve">Závazek Smluvních stran při rekonstrukci interiéru budovy č. p. 1147 </w:t>
      </w:r>
    </w:p>
    <w:p w14:paraId="6B0C4ABE" w14:textId="77777777" w:rsidR="000F297B" w:rsidRDefault="000F297B">
      <w:pPr>
        <w:jc w:val="center"/>
        <w:rPr>
          <w:b/>
          <w:szCs w:val="20"/>
        </w:rPr>
      </w:pPr>
    </w:p>
    <w:p w14:paraId="519C4DF6" w14:textId="77777777" w:rsidR="000F297B" w:rsidRDefault="000F297B">
      <w:pPr>
        <w:ind w:left="720"/>
        <w:jc w:val="both"/>
        <w:rPr>
          <w:color w:val="FF0000"/>
          <w:szCs w:val="20"/>
        </w:rPr>
      </w:pPr>
    </w:p>
    <w:p w14:paraId="7467C8C8" w14:textId="77777777" w:rsidR="000F297B" w:rsidRDefault="001A33C4">
      <w:pPr>
        <w:numPr>
          <w:ilvl w:val="0"/>
          <w:numId w:val="11"/>
        </w:numPr>
        <w:jc w:val="both"/>
      </w:pPr>
      <w:r>
        <w:rPr>
          <w:szCs w:val="20"/>
        </w:rPr>
        <w:t>Nájemce bere na vědomí, že Pronajímatel zamýšlí provést případnou rekonstrukci interiéru budovy č. p. 1147, včetně Prostor (dále jen „</w:t>
      </w:r>
      <w:r>
        <w:rPr>
          <w:b/>
          <w:bCs/>
          <w:szCs w:val="20"/>
        </w:rPr>
        <w:t>Rekonstrukce</w:t>
      </w:r>
      <w:r>
        <w:rPr>
          <w:szCs w:val="20"/>
        </w:rPr>
        <w:t xml:space="preserve">“), a to za účelem </w:t>
      </w:r>
      <w:r>
        <w:rPr>
          <w:szCs w:val="20"/>
        </w:rPr>
        <w:t xml:space="preserve">zvýšení </w:t>
      </w:r>
      <w:proofErr w:type="gramStart"/>
      <w:r>
        <w:rPr>
          <w:szCs w:val="20"/>
        </w:rPr>
        <w:t>kvality  interiéru</w:t>
      </w:r>
      <w:proofErr w:type="gramEnd"/>
      <w:r>
        <w:rPr>
          <w:szCs w:val="20"/>
        </w:rPr>
        <w:t>,   zlepšení pracovních podmínek Nájemce a zajištění podružného měření energií. Nájemce bere na vědomí, že v průběhu Rekonstrukce budovy může dojít k různým omezením a zavazuje se vytvořit patřičnou součinnost při jejím provádění.</w:t>
      </w:r>
      <w:r>
        <w:rPr>
          <w:szCs w:val="20"/>
        </w:rPr>
        <w:t xml:space="preserve"> Pronajímatel se zavazuje zohlednit potřeby a požadavky Nájemce do té míry, která neznemožní provádění Rekonstrukce a nezvýší její finanční náročnost. Smluvní strany činí nesporným, že probíhající rekonstrukce a s ní spojená omezení nebudou považována za v</w:t>
      </w:r>
      <w:r>
        <w:rPr>
          <w:szCs w:val="20"/>
        </w:rPr>
        <w:t>adu věci a výslovně vylučují použití § 2208 OZ.</w:t>
      </w:r>
    </w:p>
    <w:p w14:paraId="4C8E8882" w14:textId="77777777" w:rsidR="000F297B" w:rsidRDefault="000F297B">
      <w:pPr>
        <w:ind w:left="720"/>
        <w:jc w:val="both"/>
        <w:rPr>
          <w:szCs w:val="20"/>
        </w:rPr>
      </w:pPr>
    </w:p>
    <w:p w14:paraId="1317B3C7" w14:textId="77777777" w:rsidR="000F297B" w:rsidRDefault="001A33C4">
      <w:pPr>
        <w:pStyle w:val="Odstavecseseznamem"/>
        <w:numPr>
          <w:ilvl w:val="0"/>
          <w:numId w:val="11"/>
        </w:numPr>
        <w:jc w:val="both"/>
      </w:pPr>
      <w:r>
        <w:rPr>
          <w:szCs w:val="20"/>
        </w:rPr>
        <w:t>V případě, že užívání Prostor Nájemcem bude Rekonstrukcí znemožněno, zavazuje se Pronajímatel Nájemci poskytnout k užívání náhradní prostory tak, aby byla zajištěna činnost Nájemce. Pronajímatel poskytne pří</w:t>
      </w:r>
      <w:r>
        <w:rPr>
          <w:szCs w:val="20"/>
        </w:rPr>
        <w:t xml:space="preserve">padné náhradní prostory pouze na dobu nezbytně nutnou pro provedení Rekonstrukce předmětných Prostor. </w:t>
      </w:r>
    </w:p>
    <w:p w14:paraId="0F5896E3" w14:textId="77777777" w:rsidR="000F297B" w:rsidRDefault="000F297B">
      <w:pPr>
        <w:pStyle w:val="Odstavecseseznamem"/>
        <w:ind w:left="1440"/>
        <w:jc w:val="both"/>
        <w:rPr>
          <w:szCs w:val="20"/>
        </w:rPr>
      </w:pPr>
    </w:p>
    <w:p w14:paraId="54A141C7" w14:textId="77777777" w:rsidR="000F297B" w:rsidRDefault="001A33C4">
      <w:pPr>
        <w:pStyle w:val="Odstavecseseznamem"/>
        <w:numPr>
          <w:ilvl w:val="0"/>
          <w:numId w:val="11"/>
        </w:numPr>
        <w:spacing w:before="57" w:after="57"/>
        <w:jc w:val="both"/>
      </w:pPr>
      <w:r>
        <w:rPr>
          <w:iCs/>
          <w:szCs w:val="20"/>
        </w:rPr>
        <w:t xml:space="preserve">Smluvní strany sjednávají vzájemný závazek uzavřít novou navazující nájemní smlouvu, jejímž účelem bude </w:t>
      </w:r>
      <w:r>
        <w:rPr>
          <w:szCs w:val="20"/>
        </w:rPr>
        <w:t>přenechání Prostor po Rekonstrukci, s cílem zabe</w:t>
      </w:r>
      <w:r>
        <w:rPr>
          <w:szCs w:val="20"/>
        </w:rPr>
        <w:t>zpečení prostor pro výkon státní správy Nájemcem.</w:t>
      </w:r>
    </w:p>
    <w:p w14:paraId="49655BCA" w14:textId="77777777" w:rsidR="000F297B" w:rsidRDefault="000F297B">
      <w:pPr>
        <w:pStyle w:val="Odstavecseseznamem"/>
        <w:spacing w:before="57" w:after="57"/>
        <w:ind w:left="1440"/>
        <w:jc w:val="both"/>
        <w:rPr>
          <w:szCs w:val="20"/>
        </w:rPr>
      </w:pPr>
    </w:p>
    <w:p w14:paraId="507F2ED2" w14:textId="77777777" w:rsidR="000F297B" w:rsidRDefault="001A33C4">
      <w:pPr>
        <w:pStyle w:val="Odstavecseseznamem"/>
        <w:numPr>
          <w:ilvl w:val="0"/>
          <w:numId w:val="11"/>
        </w:numPr>
        <w:spacing w:before="57" w:after="57"/>
        <w:jc w:val="both"/>
      </w:pPr>
      <w:r>
        <w:t>Pronajímatel vyzve Nájemce k uzavření nové smlouvy dle odst. 3) tohoto článku této Smlouvy bezodkladně poté, co mu bude doručeno pravomocné kolaudační rozhodnutí/souhlas nebo jiný správní</w:t>
      </w:r>
      <w:r>
        <w:t xml:space="preserve"> akt, kterým bude </w:t>
      </w:r>
      <w:r>
        <w:t>Rekonstrukce formálně ukončena. Nájemce je povinen následně s Pronajímatelem uzavřít tuto novou nájemní smlouvu nejpozději do 3 měsíců ode dne doručení oznámení o nabytí právní moci výše zmíněného správního aktu Nájemci tak, aby nový nájem navazoval na náj</w:t>
      </w:r>
      <w:r>
        <w:t>em, který je sjednán touto Smlouvou.</w:t>
      </w:r>
    </w:p>
    <w:p w14:paraId="3A341158" w14:textId="77777777" w:rsidR="000F297B" w:rsidRDefault="000F297B">
      <w:pPr>
        <w:ind w:left="720"/>
        <w:jc w:val="both"/>
        <w:rPr>
          <w:szCs w:val="20"/>
        </w:rPr>
      </w:pPr>
    </w:p>
    <w:p w14:paraId="7A8A3BC0" w14:textId="77777777" w:rsidR="000F297B" w:rsidRDefault="001A33C4">
      <w:pPr>
        <w:pStyle w:val="Odstavecseseznamem"/>
        <w:numPr>
          <w:ilvl w:val="0"/>
          <w:numId w:val="11"/>
        </w:numPr>
        <w:jc w:val="both"/>
      </w:pPr>
      <w:r>
        <w:rPr>
          <w:szCs w:val="20"/>
        </w:rPr>
        <w:t>Nová smlouva bude shodná obsahem s touto Smlouvou s výjimkou výše nájemného a délky trvání nájmu, který bude sjednán v délce 5 let s jednoroční výpovědní lhůtou pro obě Smluvní strany. Nájemné bude stanoveno na základě</w:t>
      </w:r>
      <w:r>
        <w:rPr>
          <w:szCs w:val="20"/>
        </w:rPr>
        <w:t xml:space="preserve"> znaleckého posudku, který bude vypracován znalcem nejdříve 6 měsíců před datem uzavření nové smlouvy.</w:t>
      </w:r>
    </w:p>
    <w:p w14:paraId="24232C56" w14:textId="77777777" w:rsidR="000F297B" w:rsidRDefault="000F297B">
      <w:pPr>
        <w:jc w:val="both"/>
        <w:rPr>
          <w:color w:val="FF0000"/>
          <w:szCs w:val="20"/>
        </w:rPr>
      </w:pPr>
    </w:p>
    <w:p w14:paraId="7468B52F" w14:textId="77777777" w:rsidR="000F297B" w:rsidRDefault="001A33C4">
      <w:pPr>
        <w:jc w:val="center"/>
      </w:pPr>
      <w:r>
        <w:rPr>
          <w:b/>
          <w:bCs/>
          <w:szCs w:val="20"/>
        </w:rPr>
        <w:t>Článek IX.</w:t>
      </w:r>
    </w:p>
    <w:p w14:paraId="6FFBB306" w14:textId="77777777" w:rsidR="000F297B" w:rsidRDefault="001A33C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Závěrečná ujednání</w:t>
      </w:r>
    </w:p>
    <w:p w14:paraId="260FDD33" w14:textId="77777777" w:rsidR="000F297B" w:rsidRDefault="000F297B">
      <w:pPr>
        <w:rPr>
          <w:szCs w:val="20"/>
        </w:rPr>
      </w:pPr>
    </w:p>
    <w:p w14:paraId="49A5B648" w14:textId="77777777" w:rsidR="000F297B" w:rsidRDefault="001A33C4">
      <w:pPr>
        <w:numPr>
          <w:ilvl w:val="0"/>
          <w:numId w:val="10"/>
        </w:numPr>
        <w:jc w:val="both"/>
      </w:pPr>
      <w:r>
        <w:rPr>
          <w:szCs w:val="20"/>
        </w:rPr>
        <w:t>Tato Smlouva nabývá platnosti dnem podpisu Smluvními stranami a účinnosti dnem jejího uveřejnění prostřednictvím registru</w:t>
      </w:r>
      <w:r>
        <w:rPr>
          <w:szCs w:val="20"/>
        </w:rPr>
        <w:t xml:space="preserve"> smluv Nájemcem v souladu se zákonem č. 340/2015 Sb., o zvláštních podmínkách účinnosti některých smluv, uveřejňování těchto smluv a o registru smluv (zákon o registru smluv) ve znění pozdějších předpisů (dále jen „</w:t>
      </w:r>
      <w:r>
        <w:rPr>
          <w:b/>
          <w:szCs w:val="20"/>
        </w:rPr>
        <w:t>Zákon o registru smluv</w:t>
      </w:r>
      <w:r>
        <w:rPr>
          <w:szCs w:val="20"/>
        </w:rPr>
        <w:t>“).</w:t>
      </w:r>
    </w:p>
    <w:p w14:paraId="754ED04E" w14:textId="77777777" w:rsidR="000F297B" w:rsidRDefault="000F297B">
      <w:pPr>
        <w:ind w:left="720"/>
        <w:jc w:val="both"/>
        <w:rPr>
          <w:szCs w:val="20"/>
        </w:rPr>
      </w:pPr>
    </w:p>
    <w:p w14:paraId="6B9A2C9B" w14:textId="77777777" w:rsidR="000F297B" w:rsidRDefault="001A33C4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Pronajímatel s</w:t>
      </w:r>
      <w:r>
        <w:rPr>
          <w:szCs w:val="20"/>
        </w:rPr>
        <w:t>ouhlasí s tím, aby tato Smlouva byla uveřejněna Nájemcem prostřednictvím registru smluv v souladu se Zákonem o registru smluv.</w:t>
      </w:r>
    </w:p>
    <w:p w14:paraId="14AE2249" w14:textId="77777777" w:rsidR="000F297B" w:rsidRDefault="000F297B">
      <w:pPr>
        <w:ind w:left="720"/>
        <w:jc w:val="both"/>
        <w:rPr>
          <w:szCs w:val="20"/>
        </w:rPr>
      </w:pPr>
    </w:p>
    <w:p w14:paraId="7765F440" w14:textId="77777777" w:rsidR="000F297B" w:rsidRDefault="001A33C4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Práva a povinnosti výslovně v této Smlouvě neupravené se řídí platnými a účinnými předpisy České republiky, zejména pak příslušn</w:t>
      </w:r>
      <w:r>
        <w:rPr>
          <w:szCs w:val="20"/>
        </w:rPr>
        <w:t>ými ustanoveními OZ.</w:t>
      </w:r>
    </w:p>
    <w:p w14:paraId="1D584220" w14:textId="77777777" w:rsidR="000F297B" w:rsidRDefault="000F297B">
      <w:pPr>
        <w:ind w:left="720"/>
        <w:jc w:val="both"/>
        <w:rPr>
          <w:szCs w:val="20"/>
        </w:rPr>
      </w:pPr>
    </w:p>
    <w:p w14:paraId="5DED774D" w14:textId="77777777" w:rsidR="000F297B" w:rsidRDefault="001A33C4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lastRenderedPageBreak/>
        <w:t>Smluvní strany se dohodly na tom, že Nájemce není oprávněn činit jednostranná započtení jakýchkoliv svých pohledávek vůči pohledávkám Pronajímatele.</w:t>
      </w:r>
    </w:p>
    <w:p w14:paraId="7A06AF38" w14:textId="77777777" w:rsidR="000F297B" w:rsidRDefault="000F297B">
      <w:pPr>
        <w:ind w:left="720"/>
        <w:jc w:val="both"/>
        <w:rPr>
          <w:szCs w:val="20"/>
        </w:rPr>
      </w:pPr>
    </w:p>
    <w:p w14:paraId="6D7CE6E9" w14:textId="77777777" w:rsidR="000F297B" w:rsidRDefault="001A33C4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 xml:space="preserve">Tuto Smlouvu lze změnit pouze formou písemných, oboustranně dohodnutých a </w:t>
      </w:r>
      <w:r>
        <w:rPr>
          <w:szCs w:val="20"/>
        </w:rPr>
        <w:t>vzestupně číslovaných dodatků podepsaných oprávněnými zástupci obou Smluvních stran. Bez dodržení těchto podmínek není změna Smlouvy platná.</w:t>
      </w:r>
    </w:p>
    <w:p w14:paraId="6BB36450" w14:textId="77777777" w:rsidR="000F297B" w:rsidRDefault="000F297B">
      <w:pPr>
        <w:ind w:left="720"/>
        <w:jc w:val="both"/>
        <w:rPr>
          <w:szCs w:val="20"/>
        </w:rPr>
      </w:pPr>
    </w:p>
    <w:p w14:paraId="5C1C5203" w14:textId="77777777" w:rsidR="000F297B" w:rsidRDefault="001A33C4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 xml:space="preserve">Všechna oznámení mezi Smluvními stranami, která se vztahují k této Smlouvě nebo která mají být učiněna na základě </w:t>
      </w:r>
      <w:r>
        <w:rPr>
          <w:szCs w:val="20"/>
        </w:rPr>
        <w:t>této Smlouvy, musí být učiněna písemně a druhé Smluvní straně doručena buď doporučeným dopisem na adresu uvedenou v záhlaví této Smlouvy, prostřednictvím datové schránky, nebo e-mailem s uznávaným elektronickým podpisem, není-li v této Smlouvě stanoveno ne</w:t>
      </w:r>
      <w:r>
        <w:rPr>
          <w:szCs w:val="20"/>
        </w:rPr>
        <w:t>bo mezi Smluvními stranami dohodnuto jinak.</w:t>
      </w:r>
    </w:p>
    <w:p w14:paraId="45832E28" w14:textId="77777777" w:rsidR="000F297B" w:rsidRDefault="000F297B">
      <w:pPr>
        <w:ind w:left="720"/>
        <w:jc w:val="both"/>
        <w:rPr>
          <w:szCs w:val="20"/>
        </w:rPr>
      </w:pPr>
    </w:p>
    <w:p w14:paraId="548E920A" w14:textId="77777777" w:rsidR="000F297B" w:rsidRDefault="001A33C4">
      <w:pPr>
        <w:numPr>
          <w:ilvl w:val="0"/>
          <w:numId w:val="10"/>
        </w:numPr>
        <w:jc w:val="both"/>
      </w:pPr>
      <w:r>
        <w:rPr>
          <w:szCs w:val="20"/>
        </w:rPr>
        <w:t>Stane-li se některé z ujednání této Smlouvy neplatné nebo neúčinné, nebude to mít vliv na platnost a účinnost ujednání ostatních a na platnost a účinnost této Smlouvy jakožto celku. Neplatné nebo neúčinné ujedná</w:t>
      </w:r>
      <w:r>
        <w:rPr>
          <w:szCs w:val="20"/>
        </w:rPr>
        <w:t>ní bude nahrazeno po vzájemné dohodě Smluvních stran takovým ujednáním, které bude odpovídat svým účinkem co nejblíže původnímu záměru a účelu neplatného či neúčinného ujednání v ekonomickém i právním smyslu.</w:t>
      </w:r>
    </w:p>
    <w:p w14:paraId="7C857DD8" w14:textId="77777777" w:rsidR="000F297B" w:rsidRDefault="000F297B">
      <w:pPr>
        <w:ind w:left="720"/>
        <w:jc w:val="both"/>
        <w:rPr>
          <w:szCs w:val="20"/>
        </w:rPr>
      </w:pPr>
    </w:p>
    <w:p w14:paraId="2839BD1C" w14:textId="77777777" w:rsidR="000F297B" w:rsidRDefault="001A33C4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Případné spory vzešlé z této Smlouvy se Smluvn</w:t>
      </w:r>
      <w:r>
        <w:rPr>
          <w:szCs w:val="20"/>
        </w:rPr>
        <w:t>í strany zavazují řešit nejprve dohodou. Pokud se Smluvní strany nedohodnou, bude spor řešen před věcně a místně příslušným obecným soudem České republiky. Rozhodčí řízení se vylučuje.</w:t>
      </w:r>
    </w:p>
    <w:p w14:paraId="4A18958A" w14:textId="77777777" w:rsidR="000F297B" w:rsidRDefault="000F297B">
      <w:pPr>
        <w:ind w:left="720"/>
        <w:jc w:val="both"/>
        <w:rPr>
          <w:szCs w:val="20"/>
        </w:rPr>
      </w:pPr>
    </w:p>
    <w:p w14:paraId="2C2DBC15" w14:textId="77777777" w:rsidR="000F297B" w:rsidRDefault="001A33C4">
      <w:pPr>
        <w:numPr>
          <w:ilvl w:val="0"/>
          <w:numId w:val="10"/>
        </w:numPr>
        <w:jc w:val="both"/>
      </w:pPr>
      <w:r>
        <w:rPr>
          <w:szCs w:val="20"/>
        </w:rPr>
        <w:t xml:space="preserve">Záměr Města Jeseník pronajmout Prostory byl řádně zveřejněn na úřední </w:t>
      </w:r>
      <w:r>
        <w:rPr>
          <w:szCs w:val="20"/>
        </w:rPr>
        <w:t>desce města v době od            10. 6. 2021 do 25. 6. 2021. Pronájem za podmínek uvedených v této Smlouvě byl schválen radou Města Jeseník dne 19. 7. 2021 usnesením č. 2649.</w:t>
      </w:r>
    </w:p>
    <w:p w14:paraId="71952926" w14:textId="77777777" w:rsidR="000F297B" w:rsidRDefault="000F297B">
      <w:pPr>
        <w:ind w:left="720"/>
        <w:jc w:val="both"/>
        <w:rPr>
          <w:szCs w:val="20"/>
        </w:rPr>
      </w:pPr>
    </w:p>
    <w:p w14:paraId="02588780" w14:textId="77777777" w:rsidR="000F297B" w:rsidRDefault="001A33C4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Smluvní strany po přečtení této Smlouvy prohlašují, že souhlasí s jejím obsahem,</w:t>
      </w:r>
      <w:r>
        <w:rPr>
          <w:szCs w:val="20"/>
        </w:rPr>
        <w:t xml:space="preserve"> že Smlouva byla sepsána určitě, srozumitelně, na základě jejich pravé a svobodné vůle. Na důkaz toho připojují své podpisy.</w:t>
      </w:r>
    </w:p>
    <w:p w14:paraId="1952F42C" w14:textId="77777777" w:rsidR="000F297B" w:rsidRDefault="000F297B">
      <w:pPr>
        <w:ind w:left="720"/>
        <w:jc w:val="both"/>
        <w:rPr>
          <w:szCs w:val="20"/>
        </w:rPr>
      </w:pPr>
    </w:p>
    <w:p w14:paraId="1E6DF815" w14:textId="77777777" w:rsidR="000F297B" w:rsidRDefault="001A33C4">
      <w:pPr>
        <w:numPr>
          <w:ilvl w:val="0"/>
          <w:numId w:val="10"/>
        </w:numPr>
        <w:jc w:val="both"/>
      </w:pPr>
      <w:r>
        <w:rPr>
          <w:szCs w:val="20"/>
        </w:rPr>
        <w:t xml:space="preserve">Tato Smlouva je Smluvními stranami podepisována elektronicky. </w:t>
      </w:r>
    </w:p>
    <w:p w14:paraId="7BD2FBAB" w14:textId="77777777" w:rsidR="000F297B" w:rsidRDefault="000F297B">
      <w:pPr>
        <w:ind w:left="720"/>
        <w:jc w:val="both"/>
        <w:rPr>
          <w:szCs w:val="20"/>
        </w:rPr>
      </w:pPr>
    </w:p>
    <w:p w14:paraId="680DB83E" w14:textId="77777777" w:rsidR="000F297B" w:rsidRDefault="001A33C4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Nedílnou součástí této Smlouvy jsou tyto přílohy:</w:t>
      </w:r>
    </w:p>
    <w:p w14:paraId="71621CBB" w14:textId="77777777" w:rsidR="000F297B" w:rsidRDefault="001A33C4">
      <w:pPr>
        <w:ind w:left="720"/>
        <w:jc w:val="both"/>
        <w:rPr>
          <w:szCs w:val="20"/>
        </w:rPr>
      </w:pPr>
      <w:r>
        <w:rPr>
          <w:szCs w:val="20"/>
        </w:rPr>
        <w:t>Příloha č. 1 – S</w:t>
      </w:r>
      <w:r>
        <w:rPr>
          <w:szCs w:val="20"/>
        </w:rPr>
        <w:t>pecifikace pronajímaných Prostor (včetně plánku umístění);</w:t>
      </w:r>
    </w:p>
    <w:p w14:paraId="5BF51596" w14:textId="77777777" w:rsidR="000F297B" w:rsidRDefault="001A33C4">
      <w:pPr>
        <w:ind w:left="720"/>
        <w:jc w:val="both"/>
        <w:rPr>
          <w:szCs w:val="20"/>
        </w:rPr>
      </w:pPr>
      <w:r>
        <w:rPr>
          <w:szCs w:val="20"/>
        </w:rPr>
        <w:t>Příloha č. 2 – Způsob výpočtu nákladů na Služby.</w:t>
      </w:r>
    </w:p>
    <w:p w14:paraId="644A0BCF" w14:textId="77777777" w:rsidR="000F297B" w:rsidRDefault="001A33C4">
      <w:pPr>
        <w:ind w:left="720"/>
        <w:jc w:val="both"/>
      </w:pPr>
      <w:r>
        <w:rPr>
          <w:szCs w:val="20"/>
        </w:rPr>
        <w:t>Příloha č. 3 – Provozní řád pro uživatele objektu areálu K. Čapka 1147/10 v Jeseníku.</w:t>
      </w:r>
    </w:p>
    <w:p w14:paraId="07B3E8C2" w14:textId="77777777" w:rsidR="000F297B" w:rsidRDefault="000F297B">
      <w:pPr>
        <w:ind w:left="720"/>
        <w:jc w:val="both"/>
        <w:rPr>
          <w:szCs w:val="20"/>
        </w:rPr>
      </w:pPr>
    </w:p>
    <w:p w14:paraId="1BF504D0" w14:textId="77777777" w:rsidR="000F297B" w:rsidRDefault="000F297B">
      <w:pPr>
        <w:rPr>
          <w:szCs w:val="20"/>
        </w:rPr>
      </w:pPr>
    </w:p>
    <w:p w14:paraId="21C66B18" w14:textId="77777777" w:rsidR="000F297B" w:rsidRDefault="000F297B">
      <w:pPr>
        <w:rPr>
          <w:szCs w:val="20"/>
        </w:rPr>
      </w:pPr>
    </w:p>
    <w:p w14:paraId="54072ECA" w14:textId="77777777" w:rsidR="000F297B" w:rsidRDefault="001A33C4">
      <w:pPr>
        <w:rPr>
          <w:szCs w:val="20"/>
        </w:rPr>
      </w:pPr>
      <w:bookmarkStart w:id="0" w:name="__DdeLink__251_1816839022"/>
      <w:r>
        <w:rPr>
          <w:szCs w:val="20"/>
        </w:rPr>
        <w:t>V ………………………… d</w:t>
      </w:r>
      <w:bookmarkEnd w:id="0"/>
      <w:r>
        <w:rPr>
          <w:szCs w:val="20"/>
        </w:rPr>
        <w:t>ne………………………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V Jeseníku dne 19. 7. 2021</w:t>
      </w:r>
    </w:p>
    <w:p w14:paraId="329AE8A1" w14:textId="77777777" w:rsidR="000F297B" w:rsidRDefault="000F297B">
      <w:pPr>
        <w:rPr>
          <w:szCs w:val="20"/>
        </w:rPr>
      </w:pPr>
    </w:p>
    <w:p w14:paraId="7BDB3BE1" w14:textId="77777777" w:rsidR="000F297B" w:rsidRDefault="000F297B">
      <w:pPr>
        <w:rPr>
          <w:szCs w:val="20"/>
        </w:rPr>
      </w:pPr>
    </w:p>
    <w:p w14:paraId="24952D50" w14:textId="77777777" w:rsidR="000F297B" w:rsidRDefault="000F297B">
      <w:pPr>
        <w:rPr>
          <w:szCs w:val="20"/>
        </w:rPr>
      </w:pPr>
    </w:p>
    <w:p w14:paraId="09F8123C" w14:textId="77777777" w:rsidR="000F297B" w:rsidRDefault="001A33C4">
      <w:pPr>
        <w:rPr>
          <w:szCs w:val="20"/>
        </w:rPr>
      </w:pPr>
      <w:r>
        <w:rPr>
          <w:szCs w:val="20"/>
        </w:rPr>
        <w:t xml:space="preserve">Za Českou republiku –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Za Město Jeseník:</w:t>
      </w:r>
    </w:p>
    <w:p w14:paraId="0CE035CE" w14:textId="77777777" w:rsidR="000F297B" w:rsidRDefault="001A33C4">
      <w:r>
        <w:rPr>
          <w:szCs w:val="20"/>
        </w:rPr>
        <w:t>Úřad práce České republiky: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Mgr. Bc. Zdeňka </w:t>
      </w:r>
      <w:proofErr w:type="spellStart"/>
      <w:r>
        <w:rPr>
          <w:szCs w:val="20"/>
        </w:rPr>
        <w:t>Blišťanová</w:t>
      </w:r>
      <w:proofErr w:type="spellEnd"/>
    </w:p>
    <w:p w14:paraId="107CE78C" w14:textId="77777777" w:rsidR="000F297B" w:rsidRDefault="001A33C4">
      <w:r>
        <w:rPr>
          <w:szCs w:val="20"/>
        </w:rPr>
        <w:t>Ing. Jiří Šabata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starostka</w:t>
      </w:r>
    </w:p>
    <w:p w14:paraId="22CB92D2" w14:textId="77777777" w:rsidR="000F297B" w:rsidRDefault="001A33C4">
      <w:r>
        <w:rPr>
          <w:szCs w:val="20"/>
        </w:rPr>
        <w:t>ředitel krajské pobočky ÚP ČR v Olomouci</w:t>
      </w:r>
    </w:p>
    <w:p w14:paraId="76CC352A" w14:textId="77777777" w:rsidR="000F297B" w:rsidRDefault="000F297B">
      <w:pPr>
        <w:rPr>
          <w:szCs w:val="20"/>
        </w:rPr>
      </w:pPr>
    </w:p>
    <w:p w14:paraId="132072EA" w14:textId="77777777" w:rsidR="000F297B" w:rsidRDefault="000F297B">
      <w:pPr>
        <w:rPr>
          <w:szCs w:val="20"/>
        </w:rPr>
      </w:pPr>
    </w:p>
    <w:p w14:paraId="5EE528CA" w14:textId="77777777" w:rsidR="000F297B" w:rsidRDefault="000F297B">
      <w:pPr>
        <w:rPr>
          <w:szCs w:val="20"/>
        </w:rPr>
      </w:pPr>
    </w:p>
    <w:p w14:paraId="185AA68D" w14:textId="77777777" w:rsidR="000F297B" w:rsidRDefault="001A33C4">
      <w:pPr>
        <w:rPr>
          <w:szCs w:val="20"/>
        </w:rPr>
      </w:pPr>
      <w:r>
        <w:rPr>
          <w:szCs w:val="20"/>
        </w:rPr>
        <w:t>……………………………………………….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………………………………………………………….</w:t>
      </w:r>
    </w:p>
    <w:p w14:paraId="68B4288A" w14:textId="77777777" w:rsidR="000F297B" w:rsidRDefault="000F297B"/>
    <w:sectPr w:rsidR="000F297B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DEB6C" w14:textId="77777777" w:rsidR="00000000" w:rsidRDefault="001A33C4">
      <w:r>
        <w:separator/>
      </w:r>
    </w:p>
  </w:endnote>
  <w:endnote w:type="continuationSeparator" w:id="0">
    <w:p w14:paraId="6AB2F317" w14:textId="77777777" w:rsidR="00000000" w:rsidRDefault="001A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2865412"/>
      <w:docPartObj>
        <w:docPartGallery w:val="Page Numbers (Bottom of Page)"/>
        <w:docPartUnique/>
      </w:docPartObj>
    </w:sdtPr>
    <w:sdtEndPr/>
    <w:sdtContent>
      <w:p w14:paraId="0E9C9AE8" w14:textId="77777777" w:rsidR="000F297B" w:rsidRDefault="001A33C4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28EF61AB" w14:textId="77777777" w:rsidR="000F297B" w:rsidRDefault="000F29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4349C" w14:textId="77777777" w:rsidR="00000000" w:rsidRDefault="001A33C4">
      <w:r>
        <w:separator/>
      </w:r>
    </w:p>
  </w:footnote>
  <w:footnote w:type="continuationSeparator" w:id="0">
    <w:p w14:paraId="1B9730EA" w14:textId="77777777" w:rsidR="00000000" w:rsidRDefault="001A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160"/>
    <w:multiLevelType w:val="multilevel"/>
    <w:tmpl w:val="93A23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5D4056"/>
    <w:multiLevelType w:val="multilevel"/>
    <w:tmpl w:val="C2C206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5F7AF6"/>
    <w:multiLevelType w:val="multilevel"/>
    <w:tmpl w:val="E60CFB4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0256462"/>
    <w:multiLevelType w:val="multilevel"/>
    <w:tmpl w:val="82A445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</w:lvl>
    <w:lvl w:ilvl="2">
      <w:start w:val="1"/>
      <w:numFmt w:val="decimal"/>
      <w:lvlText w:val="%3."/>
      <w:lvlJc w:val="left"/>
      <w:pPr>
        <w:tabs>
          <w:tab w:val="num" w:pos="1622"/>
        </w:tabs>
        <w:ind w:left="1622" w:hanging="360"/>
      </w:pPr>
    </w:lvl>
    <w:lvl w:ilvl="3">
      <w:start w:val="1"/>
      <w:numFmt w:val="decimal"/>
      <w:lvlText w:val="%4."/>
      <w:lvlJc w:val="left"/>
      <w:pPr>
        <w:tabs>
          <w:tab w:val="num" w:pos="1982"/>
        </w:tabs>
        <w:ind w:left="1982" w:hanging="360"/>
      </w:pPr>
    </w:lvl>
    <w:lvl w:ilvl="4">
      <w:start w:val="1"/>
      <w:numFmt w:val="decimal"/>
      <w:lvlText w:val="%5."/>
      <w:lvlJc w:val="left"/>
      <w:pPr>
        <w:tabs>
          <w:tab w:val="num" w:pos="2342"/>
        </w:tabs>
        <w:ind w:left="2342" w:hanging="360"/>
      </w:pPr>
    </w:lvl>
    <w:lvl w:ilvl="5">
      <w:start w:val="1"/>
      <w:numFmt w:val="decimal"/>
      <w:lvlText w:val="%6."/>
      <w:lvlJc w:val="left"/>
      <w:pPr>
        <w:tabs>
          <w:tab w:val="num" w:pos="2702"/>
        </w:tabs>
        <w:ind w:left="2702" w:hanging="360"/>
      </w:pPr>
    </w:lvl>
    <w:lvl w:ilvl="6">
      <w:start w:val="1"/>
      <w:numFmt w:val="decimal"/>
      <w:lvlText w:val="%7."/>
      <w:lvlJc w:val="left"/>
      <w:pPr>
        <w:tabs>
          <w:tab w:val="num" w:pos="3062"/>
        </w:tabs>
        <w:ind w:left="3062" w:hanging="360"/>
      </w:pPr>
    </w:lvl>
    <w:lvl w:ilvl="7">
      <w:start w:val="1"/>
      <w:numFmt w:val="decimal"/>
      <w:lvlText w:val="%8."/>
      <w:lvlJc w:val="left"/>
      <w:pPr>
        <w:tabs>
          <w:tab w:val="num" w:pos="3422"/>
        </w:tabs>
        <w:ind w:left="3422" w:hanging="360"/>
      </w:pPr>
    </w:lvl>
    <w:lvl w:ilvl="8">
      <w:start w:val="1"/>
      <w:numFmt w:val="decimal"/>
      <w:lvlText w:val="%9."/>
      <w:lvlJc w:val="left"/>
      <w:pPr>
        <w:tabs>
          <w:tab w:val="num" w:pos="3782"/>
        </w:tabs>
        <w:ind w:left="3782" w:hanging="360"/>
      </w:pPr>
    </w:lvl>
  </w:abstractNum>
  <w:abstractNum w:abstractNumId="4" w15:restartNumberingAfterBreak="0">
    <w:nsid w:val="54132C72"/>
    <w:multiLevelType w:val="multilevel"/>
    <w:tmpl w:val="74E29C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F714015"/>
    <w:multiLevelType w:val="multilevel"/>
    <w:tmpl w:val="3D64A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57C181D"/>
    <w:multiLevelType w:val="multilevel"/>
    <w:tmpl w:val="8F9CBD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EAD3B39"/>
    <w:multiLevelType w:val="multilevel"/>
    <w:tmpl w:val="88C4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D21C24"/>
    <w:multiLevelType w:val="multilevel"/>
    <w:tmpl w:val="B442CD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141044"/>
    <w:multiLevelType w:val="multilevel"/>
    <w:tmpl w:val="72022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</w:lvl>
    <w:lvl w:ilvl="2">
      <w:start w:val="1"/>
      <w:numFmt w:val="decimal"/>
      <w:lvlText w:val="%3."/>
      <w:lvlJc w:val="left"/>
      <w:pPr>
        <w:tabs>
          <w:tab w:val="num" w:pos="1622"/>
        </w:tabs>
        <w:ind w:left="1622" w:hanging="360"/>
      </w:pPr>
    </w:lvl>
    <w:lvl w:ilvl="3">
      <w:start w:val="1"/>
      <w:numFmt w:val="decimal"/>
      <w:lvlText w:val="%4."/>
      <w:lvlJc w:val="left"/>
      <w:pPr>
        <w:tabs>
          <w:tab w:val="num" w:pos="1982"/>
        </w:tabs>
        <w:ind w:left="1982" w:hanging="360"/>
      </w:pPr>
    </w:lvl>
    <w:lvl w:ilvl="4">
      <w:start w:val="1"/>
      <w:numFmt w:val="decimal"/>
      <w:lvlText w:val="%5."/>
      <w:lvlJc w:val="left"/>
      <w:pPr>
        <w:tabs>
          <w:tab w:val="num" w:pos="2342"/>
        </w:tabs>
        <w:ind w:left="2342" w:hanging="360"/>
      </w:pPr>
    </w:lvl>
    <w:lvl w:ilvl="5">
      <w:start w:val="1"/>
      <w:numFmt w:val="decimal"/>
      <w:lvlText w:val="%6."/>
      <w:lvlJc w:val="left"/>
      <w:pPr>
        <w:tabs>
          <w:tab w:val="num" w:pos="2702"/>
        </w:tabs>
        <w:ind w:left="2702" w:hanging="360"/>
      </w:pPr>
    </w:lvl>
    <w:lvl w:ilvl="6">
      <w:start w:val="1"/>
      <w:numFmt w:val="decimal"/>
      <w:lvlText w:val="%7."/>
      <w:lvlJc w:val="left"/>
      <w:pPr>
        <w:tabs>
          <w:tab w:val="num" w:pos="3062"/>
        </w:tabs>
        <w:ind w:left="3062" w:hanging="360"/>
      </w:pPr>
    </w:lvl>
    <w:lvl w:ilvl="7">
      <w:start w:val="1"/>
      <w:numFmt w:val="decimal"/>
      <w:lvlText w:val="%8."/>
      <w:lvlJc w:val="left"/>
      <w:pPr>
        <w:tabs>
          <w:tab w:val="num" w:pos="3422"/>
        </w:tabs>
        <w:ind w:left="3422" w:hanging="360"/>
      </w:pPr>
    </w:lvl>
    <w:lvl w:ilvl="8">
      <w:start w:val="1"/>
      <w:numFmt w:val="decimal"/>
      <w:lvlText w:val="%9."/>
      <w:lvlJc w:val="left"/>
      <w:pPr>
        <w:tabs>
          <w:tab w:val="num" w:pos="3782"/>
        </w:tabs>
        <w:ind w:left="3782" w:hanging="360"/>
      </w:pPr>
    </w:lvl>
  </w:abstractNum>
  <w:abstractNum w:abstractNumId="10" w15:restartNumberingAfterBreak="0">
    <w:nsid w:val="78B622B6"/>
    <w:multiLevelType w:val="multilevel"/>
    <w:tmpl w:val="9EE8B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2A18A9"/>
    <w:multiLevelType w:val="multilevel"/>
    <w:tmpl w:val="A56A807E"/>
    <w:lvl w:ilvl="0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22"/>
        </w:tabs>
        <w:ind w:left="16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82"/>
        </w:tabs>
        <w:ind w:left="19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02"/>
        </w:tabs>
        <w:ind w:left="27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62"/>
        </w:tabs>
        <w:ind w:left="30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782"/>
        </w:tabs>
        <w:ind w:left="37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42"/>
        </w:tabs>
        <w:ind w:left="4142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7B"/>
    <w:rsid w:val="000F297B"/>
    <w:rsid w:val="001A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BEF3B"/>
  <w15:docId w15:val="{49D4E5AC-B5CC-4812-98A5-97E1FCF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hAnsi="Cambria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="Cambria" w:hAnsi="Cambria"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Cambria" w:hAnsi="Cambria"/>
      <w:b/>
      <w:bCs/>
      <w:sz w:val="20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/>
      <w:sz w:val="18"/>
      <w:szCs w:val="16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Cambria" w:hAnsi="Cambria"/>
      <w:color w:val="00000A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Cambria" w:hAnsi="Cambria"/>
      <w:color w:val="00000A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color w:val="00000A"/>
    </w:rPr>
  </w:style>
  <w:style w:type="character" w:customStyle="1" w:styleId="ListLabel236">
    <w:name w:val="ListLabel 236"/>
    <w:qFormat/>
    <w:rPr>
      <w:color w:val="00000A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497DD6"/>
    <w:rPr>
      <w:i/>
      <w:iCs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color w:val="00000A"/>
    </w:rPr>
  </w:style>
  <w:style w:type="character" w:customStyle="1" w:styleId="ListLabel256">
    <w:name w:val="ListLabel 256"/>
    <w:qFormat/>
    <w:rPr>
      <w:color w:val="00000A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color w:val="00000A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color w:val="00000A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color w:val="00000A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unhideWhenUsed/>
    <w:qFormat/>
    <w:rPr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200E10"/>
    <w:rPr>
      <w:rFonts w:ascii="Cambria" w:hAnsi="Cambria"/>
      <w:color w:val="00000A"/>
    </w:rPr>
  </w:style>
  <w:style w:type="paragraph" w:customStyle="1" w:styleId="l9">
    <w:name w:val="l9"/>
    <w:basedOn w:val="Normln"/>
    <w:qFormat/>
    <w:rsid w:val="00497DD6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C424-E23B-48C2-8761-1DC4A619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2651</Words>
  <Characters>15647</Characters>
  <Application>Microsoft Office Word</Application>
  <DocSecurity>4</DocSecurity>
  <Lines>130</Lines>
  <Paragraphs>36</Paragraphs>
  <ScaleCrop>false</ScaleCrop>
  <Company>ČSSZ</Company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Joanidu Dana</dc:creator>
  <dc:description/>
  <cp:lastModifiedBy>Polcarová Irena (UPM-KRP)</cp:lastModifiedBy>
  <cp:revision>2</cp:revision>
  <cp:lastPrinted>2021-07-16T12:39:00Z</cp:lastPrinted>
  <dcterms:created xsi:type="dcterms:W3CDTF">2021-07-19T13:25:00Z</dcterms:created>
  <dcterms:modified xsi:type="dcterms:W3CDTF">2021-07-19T13:25:00Z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