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6E" w:rsidRDefault="00D9428C">
      <w:pPr>
        <w:pStyle w:val="Nzev"/>
        <w:spacing w:before="73"/>
        <w:ind w:left="3283" w:right="3148"/>
      </w:pPr>
      <w:r>
        <w:rPr>
          <w:color w:val="808080"/>
        </w:rPr>
        <w:t>Smlouva č. 1190400259 o poskytnutí podpory</w:t>
      </w:r>
    </w:p>
    <w:p w:rsidR="001F606E" w:rsidRDefault="00D9428C">
      <w:pPr>
        <w:pStyle w:val="Nzev"/>
      </w:pPr>
      <w:r>
        <w:rPr>
          <w:color w:val="808080"/>
        </w:rPr>
        <w:t>ze Státního fondu životního prostředí České republiky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42"/>
        </w:rPr>
      </w:pPr>
    </w:p>
    <w:p w:rsidR="001F606E" w:rsidRDefault="00D9428C">
      <w:pPr>
        <w:pStyle w:val="Zkladntext"/>
        <w:spacing w:before="372"/>
        <w:ind w:left="242" w:firstLine="0"/>
        <w:jc w:val="left"/>
      </w:pPr>
      <w:r>
        <w:t>Smluvní strany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2"/>
        </w:rPr>
      </w:pPr>
    </w:p>
    <w:p w:rsidR="001F606E" w:rsidRDefault="00D9428C">
      <w:pPr>
        <w:pStyle w:val="Nadpis2"/>
        <w:ind w:right="0"/>
        <w:jc w:val="left"/>
      </w:pPr>
      <w:r>
        <w:t>Státní fond životního prostředí České republiky</w:t>
      </w:r>
    </w:p>
    <w:p w:rsidR="001F606E" w:rsidRDefault="00D9428C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1F606E" w:rsidRDefault="00D9428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1F606E" w:rsidRDefault="00D9428C">
      <w:pPr>
        <w:pStyle w:val="Zkladntext"/>
        <w:tabs>
          <w:tab w:val="right" w:pos="3986"/>
        </w:tabs>
        <w:spacing w:before="0" w:line="265" w:lineRule="exact"/>
        <w:ind w:left="242" w:firstLine="0"/>
        <w:jc w:val="left"/>
      </w:pPr>
      <w:r>
        <w:t>IČO:</w:t>
      </w:r>
      <w:r>
        <w:tab/>
        <w:t>00020729</w:t>
      </w:r>
    </w:p>
    <w:p w:rsidR="001F606E" w:rsidRDefault="00D9428C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zastoupený:</w:t>
      </w:r>
      <w:r>
        <w:tab/>
        <w:t>Ing. Petrem V a l d m a n e m, ředitelem SFŽP</w:t>
      </w:r>
      <w:r>
        <w:rPr>
          <w:spacing w:val="-8"/>
        </w:rPr>
        <w:t xml:space="preserve"> </w:t>
      </w:r>
      <w:r>
        <w:t>ČR</w:t>
      </w:r>
    </w:p>
    <w:p w:rsidR="001F606E" w:rsidRDefault="00D9428C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1F606E" w:rsidRDefault="00D9428C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1F606E" w:rsidRDefault="001F606E">
      <w:pPr>
        <w:pStyle w:val="Zkladntext"/>
        <w:spacing w:before="1"/>
        <w:ind w:left="0" w:firstLine="0"/>
        <w:jc w:val="left"/>
      </w:pPr>
    </w:p>
    <w:p w:rsidR="001F606E" w:rsidRDefault="00D9428C">
      <w:pPr>
        <w:pStyle w:val="Zkladntext"/>
        <w:spacing w:before="0"/>
        <w:ind w:left="242" w:firstLine="0"/>
        <w:jc w:val="left"/>
      </w:pPr>
      <w:r>
        <w:rPr>
          <w:w w:val="99"/>
        </w:rPr>
        <w:t>a</w:t>
      </w:r>
    </w:p>
    <w:p w:rsidR="001F606E" w:rsidRDefault="001F606E">
      <w:pPr>
        <w:pStyle w:val="Zkladntext"/>
        <w:spacing w:before="11"/>
        <w:ind w:left="0" w:firstLine="0"/>
        <w:jc w:val="left"/>
        <w:rPr>
          <w:sz w:val="19"/>
        </w:rPr>
      </w:pPr>
    </w:p>
    <w:p w:rsidR="001F606E" w:rsidRDefault="00D9428C">
      <w:pPr>
        <w:pStyle w:val="Nadpis2"/>
        <w:ind w:right="0"/>
        <w:jc w:val="left"/>
      </w:pPr>
      <w:r>
        <w:t>VODOVODY A KANALIZACE</w:t>
      </w:r>
    </w:p>
    <w:p w:rsidR="001F606E" w:rsidRDefault="00D9428C">
      <w:pPr>
        <w:pStyle w:val="Zkladntext"/>
        <w:spacing w:before="1"/>
        <w:ind w:left="242" w:firstLine="0"/>
        <w:jc w:val="left"/>
      </w:pPr>
      <w:r>
        <w:t>dobrovolný svazek obcí</w:t>
      </w:r>
    </w:p>
    <w:p w:rsidR="001F606E" w:rsidRDefault="00D9428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Kubišova 1172/11, 674 01 Třebíč</w:t>
      </w:r>
    </w:p>
    <w:p w:rsidR="001F606E" w:rsidRDefault="00D9428C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IČO:</w:t>
      </w:r>
      <w:r>
        <w:tab/>
        <w:t>60418885</w:t>
      </w:r>
    </w:p>
    <w:p w:rsidR="001F606E" w:rsidRDefault="00D9428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  <w:t>Ing. Karlem N e d v ě d i c k ý m,</w:t>
      </w:r>
      <w:r>
        <w:rPr>
          <w:spacing w:val="-7"/>
        </w:rPr>
        <w:t xml:space="preserve"> </w:t>
      </w:r>
      <w:r>
        <w:t>tajemníkem</w:t>
      </w:r>
    </w:p>
    <w:p w:rsidR="001F606E" w:rsidRDefault="00D9428C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06510" w:rsidRPr="00006510">
        <w:rPr>
          <w:highlight w:val="yellow"/>
        </w:rPr>
        <w:t>xxxx</w:t>
      </w:r>
    </w:p>
    <w:p w:rsidR="00006510" w:rsidRDefault="00D9428C">
      <w:pPr>
        <w:pStyle w:val="Zkladntext"/>
        <w:tabs>
          <w:tab w:val="left" w:pos="3122"/>
        </w:tabs>
        <w:spacing w:before="0"/>
        <w:ind w:left="242" w:right="5076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06510" w:rsidRPr="00006510">
        <w:rPr>
          <w:w w:val="95"/>
          <w:highlight w:val="yellow"/>
        </w:rPr>
        <w:t>xxxx</w:t>
      </w:r>
      <w:bookmarkStart w:id="0" w:name="_GoBack"/>
      <w:bookmarkEnd w:id="0"/>
    </w:p>
    <w:p w:rsidR="001F606E" w:rsidRDefault="00D9428C">
      <w:pPr>
        <w:pStyle w:val="Zkladntext"/>
        <w:tabs>
          <w:tab w:val="left" w:pos="3122"/>
        </w:tabs>
        <w:spacing w:before="0"/>
        <w:ind w:left="242" w:right="5076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1F606E" w:rsidRDefault="001F606E">
      <w:pPr>
        <w:pStyle w:val="Zkladntext"/>
        <w:spacing w:before="1"/>
        <w:ind w:left="0" w:firstLine="0"/>
        <w:jc w:val="left"/>
        <w:rPr>
          <w:sz w:val="22"/>
        </w:rPr>
      </w:pPr>
    </w:p>
    <w:p w:rsidR="001F606E" w:rsidRDefault="00D9428C">
      <w:pPr>
        <w:pStyle w:val="Zkladntext"/>
        <w:spacing w:before="0"/>
        <w:ind w:left="242" w:firstLine="0"/>
        <w:jc w:val="left"/>
      </w:pPr>
      <w:r>
        <w:t>se dohodly takto: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1F606E">
      <w:pPr>
        <w:pStyle w:val="Zkladntext"/>
        <w:spacing w:before="12"/>
        <w:ind w:left="0" w:firstLine="0"/>
        <w:jc w:val="left"/>
        <w:rPr>
          <w:sz w:val="33"/>
        </w:rPr>
      </w:pPr>
    </w:p>
    <w:p w:rsidR="001F606E" w:rsidRDefault="00D9428C">
      <w:pPr>
        <w:pStyle w:val="Nadpis2"/>
        <w:ind w:left="3276"/>
      </w:pPr>
      <w:r>
        <w:t>I.</w:t>
      </w:r>
    </w:p>
    <w:p w:rsidR="001F606E" w:rsidRDefault="00D9428C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1F606E" w:rsidRDefault="001F606E">
      <w:pPr>
        <w:pStyle w:val="Zkladntext"/>
        <w:spacing w:before="0"/>
        <w:ind w:left="0" w:firstLine="0"/>
        <w:jc w:val="left"/>
        <w:rPr>
          <w:b/>
          <w:sz w:val="29"/>
        </w:rPr>
      </w:pPr>
    </w:p>
    <w:p w:rsidR="001F606E" w:rsidRDefault="00D9428C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F606E" w:rsidRDefault="00D9428C">
      <w:pPr>
        <w:pStyle w:val="Zkladntext"/>
        <w:spacing w:before="0"/>
        <w:ind w:right="111" w:firstLine="0"/>
      </w:pPr>
      <w:r>
        <w:t>„Smlouva“) se uzavírá na základě Rozhodnutí ministra životního prostředí č. 1190400259 o poskytnutí 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 xml:space="preserve">Ministerstva životního prostředí č. 4/2015 o poskytování finančních prostředků ze Státního fondu životního prostředí České republiky prostřednictvím Národního programu Životní prostředí (dále jen „Směrnice MŽP“), platné ke dni </w:t>
      </w:r>
      <w:r>
        <w:t>podání</w:t>
      </w:r>
      <w:r>
        <w:rPr>
          <w:spacing w:val="-5"/>
        </w:rPr>
        <w:t xml:space="preserve"> </w:t>
      </w:r>
      <w:r>
        <w:t>žádosti.</w:t>
      </w:r>
    </w:p>
    <w:p w:rsidR="001F606E" w:rsidRDefault="00D9428C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4/2019   k předkládání žádostí o poskytnutí podpory v rámci Národního programu Životní prostředí, vydanou podle čl. 3 Směrnice MŽP (dále jen „Výz</w:t>
      </w:r>
      <w:r>
        <w:rPr>
          <w:sz w:val="20"/>
        </w:rPr>
        <w:t>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1F606E" w:rsidRDefault="001F606E">
      <w:pPr>
        <w:jc w:val="both"/>
        <w:rPr>
          <w:sz w:val="20"/>
        </w:rPr>
        <w:sectPr w:rsidR="001F606E">
          <w:type w:val="continuous"/>
          <w:pgSz w:w="12240" w:h="15840"/>
          <w:pgMar w:top="1060" w:right="1020" w:bottom="280" w:left="1460" w:header="708" w:footer="708" w:gutter="0"/>
          <w:cols w:space="708"/>
        </w:sectPr>
      </w:pPr>
    </w:p>
    <w:p w:rsidR="001F606E" w:rsidRDefault="00D9428C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1F606E" w:rsidRDefault="00D9428C">
      <w:pPr>
        <w:pStyle w:val="Nadpis2"/>
        <w:spacing w:before="120"/>
        <w:ind w:left="3365" w:right="0"/>
        <w:jc w:val="left"/>
      </w:pPr>
      <w:r>
        <w:t>„Náměšť n. O. - vodovod Zňátky“</w:t>
      </w:r>
    </w:p>
    <w:p w:rsidR="001F606E" w:rsidRDefault="00D9428C">
      <w:pPr>
        <w:pStyle w:val="Zkladntext"/>
        <w:ind w:firstLine="0"/>
        <w:jc w:val="left"/>
      </w:pPr>
      <w:r>
        <w:t>(dále jen „projekt“ nebo „akce“) realizovanou v letech 2021 až 2023. Akce je investiční.</w:t>
      </w:r>
    </w:p>
    <w:p w:rsidR="001F606E" w:rsidRDefault="001F606E">
      <w:pPr>
        <w:pStyle w:val="Zkladntext"/>
        <w:spacing w:before="1"/>
        <w:ind w:left="0" w:firstLine="0"/>
        <w:jc w:val="left"/>
        <w:rPr>
          <w:sz w:val="29"/>
        </w:rPr>
      </w:pPr>
    </w:p>
    <w:p w:rsidR="001F606E" w:rsidRDefault="00D9428C">
      <w:pPr>
        <w:pStyle w:val="Nadpis2"/>
        <w:ind w:left="3283" w:right="2799"/>
      </w:pPr>
      <w:r>
        <w:t>II.</w:t>
      </w:r>
    </w:p>
    <w:p w:rsidR="001F606E" w:rsidRDefault="00D9428C">
      <w:pPr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1F606E" w:rsidRDefault="001F606E">
      <w:pPr>
        <w:pStyle w:val="Zkladntext"/>
        <w:spacing w:before="12"/>
        <w:ind w:left="0" w:firstLine="0"/>
        <w:jc w:val="left"/>
        <w:rPr>
          <w:b/>
          <w:sz w:val="19"/>
        </w:rPr>
      </w:pP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3 769 929,25 Kč </w:t>
      </w:r>
      <w:r>
        <w:rPr>
          <w:sz w:val="20"/>
        </w:rPr>
        <w:t>(slovy: tři miliony sedm set šedesát devět tisíc devět set</w:t>
      </w:r>
      <w:r>
        <w:rPr>
          <w:sz w:val="20"/>
        </w:rPr>
        <w:t xml:space="preserve"> dvacet devět korun českých a dvacet pět</w:t>
      </w:r>
      <w:r>
        <w:rPr>
          <w:spacing w:val="-20"/>
          <w:sz w:val="20"/>
        </w:rPr>
        <w:t xml:space="preserve"> </w:t>
      </w:r>
      <w:r>
        <w:rPr>
          <w:sz w:val="20"/>
        </w:rPr>
        <w:t>haléřů).</w:t>
      </w: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5 913 614,52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spacing w:before="117"/>
        <w:ind w:right="117"/>
        <w:jc w:val="both"/>
        <w:rPr>
          <w:sz w:val="20"/>
        </w:rPr>
      </w:pPr>
      <w:r>
        <w:rPr>
          <w:sz w:val="20"/>
        </w:rPr>
        <w:t>Skutečná výše podpor</w:t>
      </w:r>
      <w:r>
        <w:rPr>
          <w:sz w:val="20"/>
        </w:rPr>
        <w:t>y je limitována částkou uvedenou v bodu 1. Pokud skutečné výdaje akce (a to      i průběžně, v průběhu realizace akce) překročí základ pro stanovení podpory (popřípadě jeho část odpovídající postupu realizace akce), uhradí příjemce podpory částku tohoto př</w:t>
      </w:r>
      <w:r>
        <w:rPr>
          <w:sz w:val="20"/>
        </w:rPr>
        <w:t>ekročení z vlastních zdrojů.</w:t>
      </w: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spacing w:before="123"/>
        <w:ind w:right="110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1. 1. 2014 do  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Platby dodavatelům lze z podpory poskytované Fondem hradit pouze za práce, dodávky a služby na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1F606E" w:rsidRDefault="00D9428C">
      <w:pPr>
        <w:pStyle w:val="Odstavecseseznamem"/>
        <w:numPr>
          <w:ilvl w:val="0"/>
          <w:numId w:val="7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Při určování způso</w:t>
      </w:r>
      <w:r>
        <w:rPr>
          <w:sz w:val="20"/>
        </w:rPr>
        <w:t>bilých výdajů akce a z nich odvozené výše podpory se bude vycházet ze znění čl. 9 Výzvy.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D9428C">
      <w:pPr>
        <w:pStyle w:val="Nadpis2"/>
        <w:spacing w:before="185"/>
        <w:ind w:left="3275"/>
      </w:pPr>
      <w:r>
        <w:t>III.</w:t>
      </w:r>
    </w:p>
    <w:p w:rsidR="001F606E" w:rsidRDefault="00D9428C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1F606E" w:rsidRDefault="001F606E">
      <w:pPr>
        <w:pStyle w:val="Zkladntext"/>
        <w:spacing w:before="0"/>
        <w:ind w:left="0" w:firstLine="0"/>
        <w:jc w:val="left"/>
        <w:rPr>
          <w:b/>
        </w:rPr>
      </w:pP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9-15 tak, aby 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 splnění přísl</w:t>
      </w:r>
      <w:r>
        <w:rPr>
          <w:sz w:val="20"/>
        </w:rPr>
        <w:t>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1F606E" w:rsidRDefault="001F606E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8"/>
      </w:tblGrid>
      <w:tr w:rsidR="001F606E">
        <w:trPr>
          <w:trHeight w:val="386"/>
        </w:trPr>
        <w:tc>
          <w:tcPr>
            <w:tcW w:w="4532" w:type="dxa"/>
          </w:tcPr>
          <w:p w:rsidR="001F606E" w:rsidRDefault="00D9428C">
            <w:pPr>
              <w:pStyle w:val="TableParagraph"/>
              <w:spacing w:before="120" w:line="246" w:lineRule="exact"/>
              <w:ind w:left="1975" w:right="1971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18" w:type="dxa"/>
          </w:tcPr>
          <w:p w:rsidR="001F606E" w:rsidRDefault="00D9428C">
            <w:pPr>
              <w:pStyle w:val="TableParagraph"/>
              <w:spacing w:before="120" w:line="246" w:lineRule="exact"/>
              <w:ind w:left="1821" w:right="1818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1F606E">
        <w:trPr>
          <w:trHeight w:val="386"/>
        </w:trPr>
        <w:tc>
          <w:tcPr>
            <w:tcW w:w="4532" w:type="dxa"/>
          </w:tcPr>
          <w:p w:rsidR="001F606E" w:rsidRDefault="00D9428C">
            <w:pPr>
              <w:pStyle w:val="TableParagraph"/>
              <w:spacing w:before="120" w:line="246" w:lineRule="exact"/>
              <w:ind w:left="1975" w:right="196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18" w:type="dxa"/>
          </w:tcPr>
          <w:p w:rsidR="001F606E" w:rsidRDefault="00D9428C">
            <w:pPr>
              <w:pStyle w:val="TableParagraph"/>
              <w:spacing w:before="120" w:line="246" w:lineRule="exact"/>
              <w:ind w:left="1825" w:right="1817"/>
              <w:jc w:val="center"/>
              <w:rPr>
                <w:sz w:val="20"/>
              </w:rPr>
            </w:pPr>
            <w:r>
              <w:rPr>
                <w:sz w:val="20"/>
              </w:rPr>
              <w:t>1 577 043,29</w:t>
            </w:r>
          </w:p>
        </w:tc>
      </w:tr>
      <w:tr w:rsidR="001F606E">
        <w:trPr>
          <w:trHeight w:val="386"/>
        </w:trPr>
        <w:tc>
          <w:tcPr>
            <w:tcW w:w="4532" w:type="dxa"/>
          </w:tcPr>
          <w:p w:rsidR="001F606E" w:rsidRDefault="00D9428C">
            <w:pPr>
              <w:pStyle w:val="TableParagraph"/>
              <w:spacing w:before="120" w:line="246" w:lineRule="exact"/>
              <w:ind w:left="1975" w:right="196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18" w:type="dxa"/>
          </w:tcPr>
          <w:p w:rsidR="001F606E" w:rsidRDefault="00D9428C">
            <w:pPr>
              <w:pStyle w:val="TableParagraph"/>
              <w:spacing w:before="120" w:line="246" w:lineRule="exact"/>
              <w:ind w:left="1825" w:right="1818"/>
              <w:jc w:val="center"/>
              <w:rPr>
                <w:sz w:val="20"/>
              </w:rPr>
            </w:pPr>
            <w:r>
              <w:rPr>
                <w:sz w:val="20"/>
              </w:rPr>
              <w:t>2 146 380,20</w:t>
            </w:r>
          </w:p>
        </w:tc>
      </w:tr>
      <w:tr w:rsidR="001F606E">
        <w:trPr>
          <w:trHeight w:val="385"/>
        </w:trPr>
        <w:tc>
          <w:tcPr>
            <w:tcW w:w="4532" w:type="dxa"/>
          </w:tcPr>
          <w:p w:rsidR="001F606E" w:rsidRDefault="00D9428C">
            <w:pPr>
              <w:pStyle w:val="TableParagraph"/>
              <w:spacing w:before="120" w:line="246" w:lineRule="exact"/>
              <w:ind w:left="1975" w:right="196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18" w:type="dxa"/>
          </w:tcPr>
          <w:p w:rsidR="001F606E" w:rsidRDefault="00D9428C">
            <w:pPr>
              <w:pStyle w:val="TableParagraph"/>
              <w:spacing w:before="120" w:line="246" w:lineRule="exact"/>
              <w:ind w:left="1825" w:right="1817"/>
              <w:jc w:val="center"/>
              <w:rPr>
                <w:sz w:val="20"/>
              </w:rPr>
            </w:pPr>
            <w:r>
              <w:rPr>
                <w:sz w:val="20"/>
              </w:rPr>
              <w:t>46 505,76</w:t>
            </w:r>
          </w:p>
        </w:tc>
      </w:tr>
    </w:tbl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</w:t>
      </w:r>
      <w:r>
        <w:rPr>
          <w:spacing w:val="-4"/>
          <w:sz w:val="20"/>
        </w:rPr>
        <w:t xml:space="preserve"> </w:t>
      </w:r>
      <w:r>
        <w:rPr>
          <w:sz w:val="20"/>
        </w:rPr>
        <w:t>každou</w:t>
      </w:r>
      <w:r>
        <w:rPr>
          <w:spacing w:val="13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4"/>
          <w:sz w:val="20"/>
        </w:rPr>
        <w:t xml:space="preserve"> </w:t>
      </w:r>
      <w:r>
        <w:rPr>
          <w:sz w:val="20"/>
        </w:rPr>
        <w:t>(bod</w:t>
      </w:r>
      <w:r>
        <w:rPr>
          <w:spacing w:val="13"/>
          <w:sz w:val="20"/>
        </w:rPr>
        <w:t xml:space="preserve"> </w:t>
      </w:r>
      <w:r>
        <w:rPr>
          <w:sz w:val="20"/>
        </w:rPr>
        <w:t>10)</w:t>
      </w:r>
      <w:r>
        <w:rPr>
          <w:spacing w:val="1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2"/>
          <w:sz w:val="20"/>
        </w:rPr>
        <w:t xml:space="preserve"> </w:t>
      </w:r>
      <w:r>
        <w:rPr>
          <w:sz w:val="20"/>
        </w:rPr>
        <w:t>oprávněnost</w:t>
      </w:r>
    </w:p>
    <w:p w:rsidR="001F606E" w:rsidRDefault="001F606E">
      <w:pPr>
        <w:jc w:val="both"/>
        <w:rPr>
          <w:sz w:val="20"/>
        </w:rPr>
        <w:sectPr w:rsidR="001F606E">
          <w:footerReference w:type="default" r:id="rId7"/>
          <w:pgSz w:w="12240" w:h="15840"/>
          <w:pgMar w:top="1060" w:right="1020" w:bottom="1080" w:left="1460" w:header="0" w:footer="882" w:gutter="0"/>
          <w:pgNumType w:start="2"/>
          <w:cols w:space="708"/>
        </w:sectPr>
      </w:pPr>
    </w:p>
    <w:p w:rsidR="001F606E" w:rsidRDefault="00D9428C">
      <w:pPr>
        <w:pStyle w:val="Zkladntext"/>
        <w:spacing w:before="73"/>
        <w:ind w:firstLine="0"/>
      </w:pPr>
      <w:r>
        <w:lastRenderedPageBreak/>
        <w:t>vynaložených finančních</w:t>
      </w:r>
      <w:r>
        <w:rPr>
          <w:spacing w:val="-12"/>
        </w:rPr>
        <w:t xml:space="preserve"> </w:t>
      </w:r>
      <w:r>
        <w:t>prostředků.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</w:t>
      </w:r>
      <w:r>
        <w:rPr>
          <w:sz w:val="20"/>
        </w:rPr>
        <w:t xml:space="preserve">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</w:t>
      </w:r>
      <w:r>
        <w:rPr>
          <w:sz w:val="20"/>
        </w:rPr>
        <w:t>hroženo.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z w:val="20"/>
        </w:rPr>
        <w:t xml:space="preserve">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</w:t>
      </w:r>
      <w:r>
        <w:rPr>
          <w:sz w:val="20"/>
        </w:rPr>
        <w:t>u na dané období dle Fondem akceptovaného finančně platebního kalendáře v AIS SFŽP a na základě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</w:p>
    <w:p w:rsidR="001F606E" w:rsidRDefault="00D9428C">
      <w:pPr>
        <w:pStyle w:val="Zkladntext"/>
        <w:spacing w:before="0" w:line="265" w:lineRule="exact"/>
        <w:ind w:firstLine="0"/>
      </w:pPr>
      <w:r>
        <w:t>o uvolnění finančních prostředků doručených Fondu příjemcem podpory prostřednictvím AIS SFŽP.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1F606E" w:rsidRDefault="00D9428C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5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4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4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dokladů prokazujících dodržení věcných a finančních podmínek dle uzavřených smluv s dodavateli. Příjemce podpory předkládá Fondu pouze faktury, včetně všech náležitostí a příloh, které ověřil, v souladu     </w:t>
      </w:r>
      <w:r>
        <w:rPr>
          <w:sz w:val="20"/>
        </w:rPr>
        <w:t>s platnými právními předpisy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1F606E" w:rsidRDefault="00D9428C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kopie bankovních výpisů dokladující uhraz</w:t>
      </w:r>
      <w:r>
        <w:rPr>
          <w:sz w:val="20"/>
        </w:rPr>
        <w:t>ení faktur zhotoviteli,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</w:t>
      </w:r>
      <w:r>
        <w:rPr>
          <w:sz w:val="20"/>
        </w:rPr>
        <w:t>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</w:t>
      </w:r>
      <w:r>
        <w:rPr>
          <w:sz w:val="20"/>
        </w:rPr>
        <w:t>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1F606E" w:rsidRDefault="00D9428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</w:t>
      </w:r>
      <w:r>
        <w:rPr>
          <w:sz w:val="20"/>
        </w:rPr>
        <w:t>mlouvu/dohodu o započtení vzájemných plnění stejného druhu (pohledávek a závazků) vzniklých na základě smluvního vztahu mezi příjemcem faktury a fakturujícím zhotovitelem, podepsanou příjemcem podpory i zhotovitelem. Tato oboustranná vzájemná dohoda musí b</w:t>
      </w:r>
      <w:r>
        <w:rPr>
          <w:sz w:val="20"/>
        </w:rPr>
        <w:t>ýt uzavřena v souladu s občanským zákoníkem. V dohodě musí být uvedeny smluvní strany, identifikace projektu a faktur/y (v případě odlišného</w:t>
      </w:r>
      <w:r>
        <w:rPr>
          <w:spacing w:val="47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48"/>
          <w:sz w:val="20"/>
        </w:rPr>
        <w:t xml:space="preserve"> </w:t>
      </w:r>
      <w:r>
        <w:rPr>
          <w:sz w:val="20"/>
        </w:rPr>
        <w:t>symbolu</w:t>
      </w:r>
      <w:r>
        <w:rPr>
          <w:spacing w:val="46"/>
          <w:sz w:val="20"/>
        </w:rPr>
        <w:t xml:space="preserve"> </w:t>
      </w:r>
      <w:r>
        <w:rPr>
          <w:sz w:val="20"/>
        </w:rPr>
        <w:t>oproti</w:t>
      </w:r>
      <w:r>
        <w:rPr>
          <w:spacing w:val="47"/>
          <w:sz w:val="20"/>
        </w:rPr>
        <w:t xml:space="preserve"> </w:t>
      </w:r>
      <w:r>
        <w:rPr>
          <w:sz w:val="20"/>
        </w:rPr>
        <w:t>číslu</w:t>
      </w:r>
      <w:r>
        <w:rPr>
          <w:spacing w:val="47"/>
          <w:sz w:val="20"/>
        </w:rPr>
        <w:t xml:space="preserve"> </w:t>
      </w:r>
      <w:r>
        <w:rPr>
          <w:sz w:val="20"/>
        </w:rPr>
        <w:t>faktury</w:t>
      </w:r>
      <w:r>
        <w:rPr>
          <w:spacing w:val="47"/>
          <w:sz w:val="20"/>
        </w:rPr>
        <w:t xml:space="preserve"> </w:t>
      </w:r>
      <w:r>
        <w:rPr>
          <w:sz w:val="20"/>
        </w:rPr>
        <w:t>je</w:t>
      </w:r>
      <w:r>
        <w:rPr>
          <w:spacing w:val="45"/>
          <w:sz w:val="20"/>
        </w:rPr>
        <w:t xml:space="preserve"> </w:t>
      </w:r>
      <w:r>
        <w:rPr>
          <w:sz w:val="20"/>
        </w:rPr>
        <w:t>vhodné</w:t>
      </w:r>
      <w:r>
        <w:rPr>
          <w:spacing w:val="47"/>
          <w:sz w:val="20"/>
        </w:rPr>
        <w:t xml:space="preserve"> </w:t>
      </w:r>
      <w:r>
        <w:rPr>
          <w:sz w:val="20"/>
        </w:rPr>
        <w:t>uvést</w:t>
      </w:r>
      <w:r>
        <w:rPr>
          <w:spacing w:val="47"/>
          <w:sz w:val="20"/>
        </w:rPr>
        <w:t xml:space="preserve"> </w:t>
      </w:r>
      <w:r>
        <w:rPr>
          <w:sz w:val="20"/>
        </w:rPr>
        <w:t>i</w:t>
      </w:r>
      <w:r>
        <w:rPr>
          <w:spacing w:val="46"/>
          <w:sz w:val="20"/>
        </w:rPr>
        <w:t xml:space="preserve"> </w:t>
      </w:r>
      <w:r>
        <w:rPr>
          <w:sz w:val="20"/>
        </w:rPr>
        <w:t>variabilní</w:t>
      </w:r>
      <w:r>
        <w:rPr>
          <w:spacing w:val="47"/>
          <w:sz w:val="20"/>
        </w:rPr>
        <w:t xml:space="preserve"> </w:t>
      </w:r>
      <w:r>
        <w:rPr>
          <w:sz w:val="20"/>
        </w:rPr>
        <w:t>symbol),  vzájemně</w:t>
      </w:r>
    </w:p>
    <w:p w:rsidR="001F606E" w:rsidRDefault="001F606E">
      <w:pPr>
        <w:jc w:val="both"/>
        <w:rPr>
          <w:sz w:val="20"/>
        </w:rPr>
        <w:sectPr w:rsidR="001F606E">
          <w:pgSz w:w="12240" w:h="15840"/>
          <w:pgMar w:top="1060" w:right="1020" w:bottom="1080" w:left="1460" w:header="0" w:footer="882" w:gutter="0"/>
          <w:cols w:space="708"/>
        </w:sectPr>
      </w:pPr>
    </w:p>
    <w:p w:rsidR="001F606E" w:rsidRDefault="00D9428C">
      <w:pPr>
        <w:pStyle w:val="Zkladntext"/>
        <w:spacing w:before="73"/>
        <w:ind w:firstLine="0"/>
        <w:jc w:val="left"/>
      </w:pPr>
      <w:r>
        <w:lastRenderedPageBreak/>
        <w:t>započtené částky a měny, datum podpisu smluvních stran a podpisy obou smluvních stran.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D9428C">
      <w:pPr>
        <w:pStyle w:val="Nadpis2"/>
        <w:spacing w:before="187"/>
        <w:ind w:left="3279"/>
      </w:pPr>
      <w:r>
        <w:t>IV.</w:t>
      </w:r>
    </w:p>
    <w:p w:rsidR="001F606E" w:rsidRDefault="00D9428C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1F606E" w:rsidRDefault="001F606E">
      <w:pPr>
        <w:pStyle w:val="Zkladntext"/>
        <w:spacing w:before="11"/>
        <w:ind w:left="0" w:firstLine="0"/>
        <w:jc w:val="left"/>
        <w:rPr>
          <w:b/>
          <w:sz w:val="19"/>
        </w:rPr>
      </w:pPr>
    </w:p>
    <w:p w:rsidR="001F606E" w:rsidRDefault="00D9428C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ind w:right="110"/>
        <w:rPr>
          <w:sz w:val="20"/>
        </w:rPr>
      </w:pPr>
      <w:r>
        <w:rPr>
          <w:sz w:val="20"/>
        </w:rPr>
        <w:t>splní účel akce „Náměšť n. O. - vodovod Zňátky“ tím, že akce bude provedena v souladu se žád</w:t>
      </w:r>
      <w:r>
        <w:rPr>
          <w:sz w:val="20"/>
        </w:rPr>
        <w:t>ostí o podporu a jejími přílohami a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realizací projektu dojde k výstavbě vodovodu o délce 2,01</w:t>
      </w:r>
      <w:r>
        <w:rPr>
          <w:spacing w:val="-5"/>
          <w:sz w:val="20"/>
        </w:rPr>
        <w:t xml:space="preserve"> </w:t>
      </w:r>
      <w:r>
        <w:rPr>
          <w:sz w:val="20"/>
        </w:rPr>
        <w:t>km,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4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(ZVA)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písmene</w:t>
      </w:r>
      <w:r>
        <w:rPr>
          <w:spacing w:val="-14"/>
          <w:sz w:val="20"/>
        </w:rPr>
        <w:t xml:space="preserve"> </w:t>
      </w:r>
      <w:r>
        <w:rPr>
          <w:sz w:val="20"/>
        </w:rPr>
        <w:t>q)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nově</w:t>
      </w:r>
      <w:r>
        <w:rPr>
          <w:spacing w:val="-14"/>
          <w:sz w:val="20"/>
        </w:rPr>
        <w:t xml:space="preserve"> </w:t>
      </w:r>
      <w:r>
        <w:rPr>
          <w:sz w:val="20"/>
        </w:rPr>
        <w:t>připojeno</w:t>
      </w:r>
      <w:r>
        <w:rPr>
          <w:spacing w:val="-13"/>
          <w:sz w:val="20"/>
        </w:rPr>
        <w:t xml:space="preserve"> </w:t>
      </w:r>
      <w:r>
        <w:rPr>
          <w:sz w:val="20"/>
        </w:rPr>
        <w:t>123</w:t>
      </w:r>
      <w:r>
        <w:rPr>
          <w:spacing w:val="-11"/>
          <w:sz w:val="20"/>
        </w:rPr>
        <w:t xml:space="preserve"> </w:t>
      </w:r>
      <w:r>
        <w:rPr>
          <w:sz w:val="20"/>
        </w:rPr>
        <w:t>obyvatel na</w:t>
      </w:r>
      <w:r>
        <w:rPr>
          <w:spacing w:val="-1"/>
          <w:sz w:val="20"/>
        </w:rPr>
        <w:t xml:space="preserve"> </w:t>
      </w:r>
      <w:r>
        <w:rPr>
          <w:sz w:val="20"/>
        </w:rPr>
        <w:t>vodovod,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7"/>
        <w:rPr>
          <w:sz w:val="20"/>
        </w:rPr>
      </w:pP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dodávaná</w:t>
      </w:r>
      <w:r>
        <w:rPr>
          <w:spacing w:val="-15"/>
          <w:sz w:val="20"/>
        </w:rPr>
        <w:t xml:space="preserve"> </w:t>
      </w:r>
      <w:r>
        <w:rPr>
          <w:sz w:val="20"/>
        </w:rPr>
        <w:t>pitná</w:t>
      </w:r>
      <w:r>
        <w:rPr>
          <w:spacing w:val="-15"/>
          <w:sz w:val="20"/>
        </w:rPr>
        <w:t xml:space="preserve"> </w:t>
      </w:r>
      <w:r>
        <w:rPr>
          <w:sz w:val="20"/>
        </w:rPr>
        <w:t>voda</w:t>
      </w:r>
      <w:r>
        <w:rPr>
          <w:spacing w:val="-14"/>
          <w:sz w:val="20"/>
        </w:rPr>
        <w:t xml:space="preserve"> </w:t>
      </w:r>
      <w:r>
        <w:rPr>
          <w:sz w:val="20"/>
        </w:rPr>
        <w:t>splňovat</w:t>
      </w:r>
      <w:r>
        <w:rPr>
          <w:spacing w:val="-14"/>
          <w:sz w:val="20"/>
        </w:rPr>
        <w:t xml:space="preserve"> </w:t>
      </w:r>
      <w:r>
        <w:rPr>
          <w:sz w:val="20"/>
        </w:rPr>
        <w:t>hygienické</w:t>
      </w:r>
      <w:r>
        <w:rPr>
          <w:spacing w:val="-15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platnou legislativou</w:t>
      </w:r>
      <w:r>
        <w:rPr>
          <w:spacing w:val="1"/>
          <w:sz w:val="20"/>
        </w:rPr>
        <w:t xml:space="preserve"> </w:t>
      </w:r>
      <w:r>
        <w:rPr>
          <w:sz w:val="20"/>
        </w:rPr>
        <w:t>ČR,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bude zacházet s majetkem spolufinancovaným z do</w:t>
      </w:r>
      <w:r>
        <w:rPr>
          <w:sz w:val="20"/>
        </w:rPr>
        <w:t>tace s péčí řádného</w:t>
      </w:r>
      <w:r>
        <w:rPr>
          <w:spacing w:val="-8"/>
          <w:sz w:val="20"/>
        </w:rPr>
        <w:t xml:space="preserve"> </w:t>
      </w:r>
      <w:r>
        <w:rPr>
          <w:sz w:val="20"/>
        </w:rPr>
        <w:t>hospodáře,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</w:t>
      </w:r>
      <w:r>
        <w:rPr>
          <w:sz w:val="20"/>
        </w:rPr>
        <w:t>ravené, nebo jinak výrazně zhodnocené) s podporou podle této Smlouvy, jakož i budovy (stavby) a pozemky, ve kterých (na kterých) mají být umístěny (s výjimkou pozemků, kterými je pouze vedena liniová stavba). Příjemce podpory je povinen zabezpečit, že před</w:t>
      </w:r>
      <w:r>
        <w:rPr>
          <w:sz w:val="20"/>
        </w:rPr>
        <w:t>mět podpory nebude převeden bez souhlasu Fondu na jinou osobu nejméně po dobu 10 let od 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převod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 zabezpečí, že účel, pro který je poskytnuta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zabezpečí,  že  právní  zatížení  předmětu  podpory  po  dobu  udrž</w:t>
      </w:r>
      <w:r>
        <w:rPr>
          <w:sz w:val="20"/>
        </w:rPr>
        <w:t>itelnosti,  zejména  zastavení     ve prospěch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4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 xml:space="preserve">bude  veškeré  výdaje  akce  vést  v účetnictví  nebo   daňové  evidenci  </w:t>
      </w:r>
      <w:r>
        <w:rPr>
          <w:sz w:val="20"/>
        </w:rPr>
        <w:t>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</w:t>
      </w:r>
      <w:r>
        <w:rPr>
          <w:sz w:val="20"/>
        </w:rPr>
        <w:t xml:space="preserve"> nesouvisejí, a zavazuje se vést analytickou evidenci s vazbou ke konkrétní</w:t>
      </w:r>
      <w:r>
        <w:rPr>
          <w:spacing w:val="-29"/>
          <w:sz w:val="20"/>
        </w:rPr>
        <w:t xml:space="preserve"> </w:t>
      </w:r>
      <w:r>
        <w:rPr>
          <w:sz w:val="20"/>
        </w:rPr>
        <w:t>akci,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 xml:space="preserve">bude dodržovat pravidla publicity dle </w:t>
      </w:r>
      <w:r>
        <w:rPr>
          <w:sz w:val="20"/>
        </w:rPr>
        <w:t>pokynů v čl. 19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Fondu</w:t>
      </w:r>
      <w:r>
        <w:rPr>
          <w:spacing w:val="6"/>
          <w:sz w:val="20"/>
        </w:rPr>
        <w:t xml:space="preserve"> </w:t>
      </w:r>
      <w:r>
        <w:rPr>
          <w:sz w:val="20"/>
        </w:rPr>
        <w:t>dokládat</w:t>
      </w:r>
      <w:r>
        <w:rPr>
          <w:spacing w:val="5"/>
          <w:sz w:val="20"/>
        </w:rPr>
        <w:t xml:space="preserve"> </w:t>
      </w:r>
      <w:r>
        <w:rPr>
          <w:sz w:val="20"/>
        </w:rPr>
        <w:t>úhrady</w:t>
      </w:r>
      <w:r>
        <w:rPr>
          <w:spacing w:val="6"/>
          <w:sz w:val="20"/>
        </w:rPr>
        <w:t xml:space="preserve"> </w:t>
      </w:r>
      <w:r>
        <w:rPr>
          <w:sz w:val="20"/>
        </w:rPr>
        <w:t>faktur,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</w:p>
    <w:p w:rsidR="001F606E" w:rsidRDefault="001F606E">
      <w:pPr>
        <w:jc w:val="both"/>
        <w:rPr>
          <w:sz w:val="20"/>
        </w:rPr>
        <w:sectPr w:rsidR="001F606E">
          <w:pgSz w:w="12240" w:h="15840"/>
          <w:pgMar w:top="1060" w:right="1020" w:bottom="1120" w:left="1460" w:header="0" w:footer="882" w:gutter="0"/>
          <w:cols w:space="708"/>
        </w:sectPr>
      </w:pPr>
    </w:p>
    <w:p w:rsidR="001F606E" w:rsidRDefault="00D9428C">
      <w:pPr>
        <w:pStyle w:val="Zkladntext"/>
        <w:spacing w:before="73"/>
        <w:ind w:left="808" w:right="112" w:firstLine="0"/>
      </w:pPr>
      <w:r>
        <w:lastRenderedPageBreak/>
        <w:t>o uvolnění finančních prostředků zahrne neuhrazené faktury, je povinen nejpozději do 10</w:t>
      </w:r>
      <w:r>
        <w:rPr>
          <w:spacing w:val="-39"/>
        </w:rPr>
        <w:t xml:space="preserve"> </w:t>
      </w:r>
      <w:r>
        <w:t>pracovních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</w:rPr>
        <w:t xml:space="preserve"> </w:t>
      </w:r>
      <w:r>
        <w:t>Fondu,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F606E" w:rsidRDefault="00D9428C">
      <w:pPr>
        <w:pStyle w:val="Odstavecseseznamem"/>
        <w:numPr>
          <w:ilvl w:val="2"/>
          <w:numId w:val="5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</w:t>
      </w:r>
      <w:r>
        <w:rPr>
          <w:sz w:val="20"/>
        </w:rPr>
        <w:t>ín ukončení stavebních a montážních prací do konce 6/2023,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1F606E" w:rsidRDefault="00D9428C">
      <w:pPr>
        <w:pStyle w:val="Odstavecseseznamem"/>
        <w:numPr>
          <w:ilvl w:val="2"/>
          <w:numId w:val="5"/>
        </w:numPr>
        <w:tabs>
          <w:tab w:val="left" w:pos="1094"/>
        </w:tabs>
        <w:spacing w:before="118"/>
        <w:ind w:right="108"/>
        <w:rPr>
          <w:sz w:val="20"/>
        </w:rPr>
      </w:pPr>
      <w:r>
        <w:rPr>
          <w:sz w:val="20"/>
        </w:rPr>
        <w:t>termí</w:t>
      </w:r>
      <w:r>
        <w:rPr>
          <w:sz w:val="20"/>
        </w:rPr>
        <w:t>n</w:t>
      </w:r>
      <w:r>
        <w:rPr>
          <w:spacing w:val="-1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konce</w:t>
      </w:r>
      <w:r>
        <w:rPr>
          <w:spacing w:val="-15"/>
          <w:sz w:val="20"/>
        </w:rPr>
        <w:t xml:space="preserve"> </w:t>
      </w:r>
      <w:r>
        <w:rPr>
          <w:sz w:val="20"/>
        </w:rPr>
        <w:t>9/2023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tohoto</w:t>
      </w:r>
      <w:r>
        <w:rPr>
          <w:spacing w:val="-16"/>
          <w:sz w:val="20"/>
        </w:rPr>
        <w:t xml:space="preserve"> </w:t>
      </w:r>
      <w:r>
        <w:rPr>
          <w:sz w:val="20"/>
        </w:rPr>
        <w:t>termínu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6"/>
          <w:sz w:val="20"/>
        </w:rPr>
        <w:t xml:space="preserve"> </w:t>
      </w:r>
      <w:r>
        <w:rPr>
          <w:sz w:val="20"/>
        </w:rPr>
        <w:t>bez</w:t>
      </w:r>
      <w:r>
        <w:rPr>
          <w:spacing w:val="-16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6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</w:t>
      </w:r>
      <w:r>
        <w:rPr>
          <w:spacing w:val="-5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183/2006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územním</w:t>
      </w:r>
      <w:r>
        <w:rPr>
          <w:spacing w:val="-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 řádu (stavební zákon), ve znění pozdějších předpisů, nebo termín schválení protokolu o předání a převzetí</w:t>
      </w:r>
      <w:r>
        <w:rPr>
          <w:spacing w:val="-13"/>
          <w:sz w:val="20"/>
        </w:rPr>
        <w:t xml:space="preserve"> </w:t>
      </w:r>
      <w:r>
        <w:rPr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4"/>
          <w:sz w:val="20"/>
        </w:rPr>
        <w:t xml:space="preserve"> </w:t>
      </w:r>
      <w:r>
        <w:rPr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3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projektu nevyžaduje stavební povolení). Bud</w:t>
      </w:r>
      <w:r>
        <w:rPr>
          <w:sz w:val="20"/>
        </w:rPr>
        <w:t>e-li vydán jak kolaudační souhlas, tak oznámení o užívání, považuje se za termín ukončení akce datum dokumentu vydaného</w:t>
      </w:r>
      <w:r>
        <w:rPr>
          <w:spacing w:val="-8"/>
          <w:sz w:val="20"/>
        </w:rPr>
        <w:t xml:space="preserve"> </w:t>
      </w:r>
      <w:r>
        <w:rPr>
          <w:sz w:val="20"/>
        </w:rPr>
        <w:t>později,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předloží Fondu nejpozději do konce  3/2024 podklady k ZVA podle článku 12 písm. d) Výzvy.           K ZVA může Fond vydat závaz</w:t>
      </w:r>
      <w:r>
        <w:rPr>
          <w:sz w:val="20"/>
        </w:rPr>
        <w:t>né pokyny (či požádat o informace), které mohou jeho obsah blíže specifikovat     či     rozšířit.      Příjemce      podpory      je      povinen      tyto      pokyny      (žádost o informace) bez zbytečného odkladu (případně ve lhůtě stanovené Fondem) s</w:t>
      </w:r>
      <w:r>
        <w:rPr>
          <w:sz w:val="20"/>
        </w:rPr>
        <w:t>plnit. Fond není povinen vydat protokol o závěrečném vyhodnocení akce dříve, než obdrží veškeré požadované podklady a informace, na základě kterých bude moci jednoznačně rozhodnout o plnění podmínek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plněním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závazků</w:t>
      </w:r>
      <w:r>
        <w:rPr>
          <w:spacing w:val="-8"/>
          <w:sz w:val="20"/>
        </w:rPr>
        <w:t xml:space="preserve"> </w:t>
      </w:r>
      <w:r>
        <w:rPr>
          <w:sz w:val="20"/>
        </w:rPr>
        <w:t>vůči Fondu. Protokol o závěrečném vyhodnocení akce bude obsahovat vypořádání čerpaných prostředků a vyhodnocení plnění 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podmínek.</w:t>
      </w:r>
    </w:p>
    <w:p w:rsidR="001F606E" w:rsidRDefault="00D9428C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3"/>
          <w:sz w:val="20"/>
        </w:rPr>
        <w:t xml:space="preserve"> </w:t>
      </w:r>
      <w:r>
        <w:rPr>
          <w:sz w:val="20"/>
        </w:rPr>
        <w:t>dobu,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9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ohledu na </w:t>
      </w:r>
      <w:r>
        <w:rPr>
          <w:sz w:val="20"/>
        </w:rPr>
        <w:t>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</w:t>
      </w:r>
      <w:r>
        <w:rPr>
          <w:sz w:val="20"/>
        </w:rPr>
        <w:t>odpory, tak podílu z celkových výdajů akce) do 30 dnů vrátit tu část poskytnutých finančních prostředků, která odpovídá případnému překročení podílu dle článku II bodů 3 a</w:t>
      </w:r>
      <w:r>
        <w:rPr>
          <w:spacing w:val="-15"/>
          <w:sz w:val="20"/>
        </w:rPr>
        <w:t xml:space="preserve"> </w:t>
      </w:r>
      <w:r>
        <w:rPr>
          <w:sz w:val="20"/>
        </w:rPr>
        <w:t>4,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</w:t>
      </w:r>
      <w:r>
        <w:rPr>
          <w:sz w:val="20"/>
        </w:rPr>
        <w:t>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</w:p>
    <w:p w:rsidR="001F606E" w:rsidRDefault="001F606E">
      <w:pPr>
        <w:jc w:val="both"/>
        <w:rPr>
          <w:sz w:val="20"/>
        </w:rPr>
        <w:sectPr w:rsidR="001F606E">
          <w:pgSz w:w="12240" w:h="15840"/>
          <w:pgMar w:top="1060" w:right="1020" w:bottom="1080" w:left="1460" w:header="0" w:footer="882" w:gutter="0"/>
          <w:cols w:space="708"/>
        </w:sectPr>
      </w:pPr>
    </w:p>
    <w:p w:rsidR="001F606E" w:rsidRDefault="00D9428C">
      <w:pPr>
        <w:pStyle w:val="Zkladntext"/>
        <w:spacing w:before="73"/>
        <w:ind w:left="808" w:firstLine="0"/>
      </w:pPr>
      <w:r>
        <w:lastRenderedPageBreak/>
        <w:t>povinností příjemce podpory podle této Smlouvy,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</w:t>
      </w:r>
      <w:r>
        <w:rPr>
          <w:sz w:val="20"/>
        </w:rPr>
        <w:t>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 pravdivé,  nezkreslené  a úplné. Př</w:t>
      </w:r>
      <w:r>
        <w:rPr>
          <w:sz w:val="20"/>
        </w:rPr>
        <w:t>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1F606E" w:rsidRDefault="00D9428C">
      <w:pPr>
        <w:pStyle w:val="Zkladntext"/>
        <w:spacing w:before="2"/>
        <w:ind w:left="808" w:firstLine="0"/>
      </w:pPr>
      <w:r>
        <w:t>– odkaz na Zadávání veřejných zakázek pro OPŽP 2014 - 2020, a to i v průběhu realizace akce,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</w:t>
      </w:r>
      <w:r>
        <w:rPr>
          <w:sz w:val="20"/>
        </w:rPr>
        <w:t>nosti, 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</w:t>
      </w:r>
      <w:r>
        <w:rPr>
          <w:sz w:val="20"/>
        </w:rPr>
        <w:t>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1F606E" w:rsidRDefault="00D9428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D9428C">
      <w:pPr>
        <w:pStyle w:val="Nadpis2"/>
        <w:spacing w:before="185"/>
        <w:ind w:left="3274"/>
      </w:pPr>
      <w:r>
        <w:t>V.</w:t>
      </w:r>
    </w:p>
    <w:p w:rsidR="001F606E" w:rsidRDefault="00D9428C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1F606E" w:rsidRDefault="001F606E">
      <w:pPr>
        <w:pStyle w:val="Zkladntext"/>
        <w:spacing w:before="1"/>
        <w:ind w:left="0" w:firstLine="0"/>
        <w:jc w:val="left"/>
        <w:rPr>
          <w:b/>
        </w:rPr>
      </w:pP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81"/>
        </w:tabs>
        <w:ind w:right="110"/>
        <w:jc w:val="both"/>
        <w:rPr>
          <w:sz w:val="20"/>
        </w:rPr>
      </w:pPr>
      <w:r>
        <w:tab/>
      </w:r>
      <w:r>
        <w:rPr>
          <w:sz w:val="20"/>
        </w:rPr>
        <w:t>Porušení povinností podle článku IV bodu 1 písm. b) nebo c) bude postiženo odvodem ve výši 100 %   z poskytnuté podpory, byl – li naplněn účel akce podle citovaného ustanovení na méně než 50 % stanovených indikátorů. V případě plnění  účelu  akce  podle  č</w:t>
      </w:r>
      <w:r>
        <w:rPr>
          <w:sz w:val="20"/>
        </w:rPr>
        <w:t xml:space="preserve">lánku  IV  bodu  1  písm.  b)  v rozmezí 50 – 94,99 % stanovených indikátorů bude toto porušení postiženo odvodem z poskytnuté podpory ve výši odpovídající poměru nedosažení indikátoru. V případě plnění účelu akce podle článku IV bodu 1 písm. c) v rozmezí </w:t>
      </w:r>
      <w:r>
        <w:rPr>
          <w:sz w:val="20"/>
        </w:rPr>
        <w:t xml:space="preserve">50 – 79,99 % stanovených indikátorů bude toto porušení postiženo odvodem            z poskytnuté podpory ve výši odpovídající poměru nedosažení indikátoru. V případě plnění účelu akce podle článku IV bodu 1 písm. b) na 95 % a více a podle článku IV bodu 1 </w:t>
      </w:r>
      <w:r>
        <w:rPr>
          <w:sz w:val="20"/>
        </w:rPr>
        <w:t>písm. c) na 80 % a více bez odvodu.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tnuté podpory.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1F606E" w:rsidRDefault="00D9428C">
      <w:pPr>
        <w:pStyle w:val="Zkladntext"/>
        <w:spacing w:before="0"/>
        <w:ind w:firstLine="0"/>
        <w:jc w:val="left"/>
      </w:pPr>
      <w:r>
        <w:t>5 pracovních dnů nebude postiženo a nebude tak</w:t>
      </w:r>
      <w:r>
        <w:t xml:space="preserve"> považováno za porušení podmínek poskytnutí podpory.</w:t>
      </w:r>
    </w:p>
    <w:p w:rsidR="001F606E" w:rsidRDefault="001F606E">
      <w:pPr>
        <w:sectPr w:rsidR="001F606E">
          <w:pgSz w:w="12240" w:h="15840"/>
          <w:pgMar w:top="1060" w:right="1020" w:bottom="1160" w:left="1460" w:header="0" w:footer="882" w:gutter="0"/>
          <w:cols w:space="708"/>
        </w:sectPr>
      </w:pP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takto: do 30 kalendářních dní bez postihu, od 31 do 90 kalendářních dní odvod 1 % z poskytnuté podpory, od 91 do 180 kalendářních dní odvod 3 % z poskytnuté podpory, prodlení delší než 180 kalendářních </w:t>
      </w:r>
      <w:r>
        <w:rPr>
          <w:sz w:val="20"/>
        </w:rPr>
        <w:t>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ind w:right="116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</w:t>
      </w:r>
      <w:r>
        <w:rPr>
          <w:sz w:val="20"/>
        </w:rPr>
        <w:t>ostihu, prodlení delší než 31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 xml:space="preserve">Porušení povinností podle přílohy  č.  1  této  Smlouvy  bude postiženo  odvodem  ve výši 0,1  –  25  % z poskytnuté  podpory  v případě,  kdy  nejsou  zásadním  způsobem  dodrženy   podmínky  Metodiky  z hlediska plnění podmínek přílohy č. 6 programového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1F606E" w:rsidRDefault="00D9428C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D9428C">
      <w:pPr>
        <w:pStyle w:val="Nadpis2"/>
        <w:spacing w:before="185"/>
        <w:ind w:left="3277"/>
      </w:pPr>
      <w:r>
        <w:t>VI.</w:t>
      </w:r>
    </w:p>
    <w:p w:rsidR="001F606E" w:rsidRDefault="00D9428C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1F606E" w:rsidRDefault="001F606E">
      <w:pPr>
        <w:pStyle w:val="Zkladntext"/>
        <w:spacing w:before="1"/>
        <w:ind w:left="0" w:firstLine="0"/>
        <w:jc w:val="left"/>
        <w:rPr>
          <w:b/>
        </w:rPr>
      </w:pP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z této Smlouvy, </w:t>
      </w:r>
      <w:r>
        <w:rPr>
          <w:sz w:val="20"/>
        </w:rPr>
        <w:t>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převodu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</w:t>
      </w:r>
      <w:r>
        <w:rPr>
          <w:sz w:val="20"/>
        </w:rPr>
        <w:t>h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používat</w:t>
      </w:r>
      <w:r>
        <w:rPr>
          <w:spacing w:val="-8"/>
          <w:sz w:val="20"/>
        </w:rPr>
        <w:t xml:space="preserve"> </w:t>
      </w:r>
      <w:r>
        <w:rPr>
          <w:sz w:val="20"/>
        </w:rPr>
        <w:t>variabilní symboly v souladu s metodikou použití variabilních symbolů, vydanou Fondem, která je k dispozici ke stažení na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www.sfzp.cz.</w:t>
        </w:r>
      </w:hyperlink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 snazší identifikac</w:t>
      </w:r>
      <w:r>
        <w:rPr>
          <w:sz w:val="20"/>
        </w:rPr>
        <w:t>i budou smluvní strany při veškeré korespondenci (včetně elektronické) týkající se akce, uvádět vždy číslo této Smlouvy, a to již v označení věci,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  článku   III,   a   to   zejména   tehdy,   kdy   bude   docíl</w:t>
      </w:r>
      <w:r>
        <w:rPr>
          <w:sz w:val="20"/>
        </w:rPr>
        <w:t>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</w:t>
      </w:r>
      <w:r>
        <w:rPr>
          <w:sz w:val="20"/>
        </w:rPr>
        <w:t>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</w:t>
      </w:r>
      <w:r>
        <w:rPr>
          <w:sz w:val="20"/>
        </w:rPr>
        <w:t>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</w:t>
      </w:r>
      <w:r>
        <w:rPr>
          <w:spacing w:val="8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</w:t>
      </w:r>
      <w:r>
        <w:rPr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1F606E" w:rsidRDefault="001F606E">
      <w:pPr>
        <w:spacing w:line="237" w:lineRule="auto"/>
        <w:jc w:val="both"/>
        <w:rPr>
          <w:sz w:val="20"/>
        </w:rPr>
        <w:sectPr w:rsidR="001F606E">
          <w:pgSz w:w="12240" w:h="15840"/>
          <w:pgMar w:top="1060" w:right="1020" w:bottom="1160" w:left="1460" w:header="0" w:footer="882" w:gutter="0"/>
          <w:cols w:space="708"/>
        </w:sectPr>
      </w:pPr>
    </w:p>
    <w:p w:rsidR="001F606E" w:rsidRDefault="00D9428C">
      <w:pPr>
        <w:pStyle w:val="Zkladntext"/>
        <w:spacing w:before="73"/>
        <w:ind w:right="113" w:firstLine="0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8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 tento zákon</w:t>
      </w:r>
      <w:r>
        <w:rPr>
          <w:spacing w:val="-1"/>
        </w:rPr>
        <w:t xml:space="preserve"> </w:t>
      </w:r>
      <w:r>
        <w:t>ukládá.</w:t>
      </w:r>
    </w:p>
    <w:p w:rsidR="001F606E" w:rsidRDefault="00D9428C">
      <w:pPr>
        <w:pStyle w:val="Odstavecseseznamem"/>
        <w:numPr>
          <w:ilvl w:val="0"/>
          <w:numId w:val="3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1F606E" w:rsidRDefault="001F606E">
      <w:pPr>
        <w:pStyle w:val="Zkladntext"/>
        <w:spacing w:before="13"/>
        <w:ind w:left="0" w:firstLine="0"/>
        <w:jc w:val="left"/>
        <w:rPr>
          <w:sz w:val="28"/>
        </w:rPr>
      </w:pPr>
    </w:p>
    <w:p w:rsidR="001F606E" w:rsidRDefault="00D9428C">
      <w:pPr>
        <w:pStyle w:val="Zkladntext"/>
        <w:tabs>
          <w:tab w:val="left" w:pos="6691"/>
        </w:tabs>
        <w:spacing w:before="0"/>
        <w:ind w:left="242" w:firstLine="0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1F606E" w:rsidRDefault="001F606E">
      <w:pPr>
        <w:pStyle w:val="Zkladntext"/>
        <w:spacing w:before="1"/>
        <w:ind w:left="0" w:firstLine="0"/>
        <w:jc w:val="left"/>
      </w:pPr>
    </w:p>
    <w:p w:rsidR="001F606E" w:rsidRDefault="00D9428C">
      <w:pPr>
        <w:pStyle w:val="Zkladntext"/>
        <w:spacing w:before="0"/>
        <w:ind w:left="242" w:firstLine="0"/>
        <w:jc w:val="left"/>
      </w:pPr>
      <w:r>
        <w:t>dne: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1F606E">
      <w:pPr>
        <w:pStyle w:val="Zkladntext"/>
        <w:spacing w:before="12"/>
        <w:ind w:left="0" w:firstLine="0"/>
        <w:jc w:val="left"/>
        <w:rPr>
          <w:sz w:val="27"/>
        </w:rPr>
      </w:pPr>
    </w:p>
    <w:p w:rsidR="001F606E" w:rsidRDefault="00D9428C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1F606E" w:rsidRDefault="00D9428C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1F606E">
      <w:pPr>
        <w:pStyle w:val="Zkladntext"/>
        <w:spacing w:before="0"/>
        <w:ind w:left="0" w:firstLine="0"/>
        <w:jc w:val="left"/>
        <w:rPr>
          <w:sz w:val="26"/>
        </w:rPr>
      </w:pPr>
    </w:p>
    <w:p w:rsidR="001F606E" w:rsidRDefault="001F606E">
      <w:pPr>
        <w:pStyle w:val="Zkladntext"/>
        <w:spacing w:before="12"/>
        <w:ind w:left="0" w:firstLine="0"/>
        <w:jc w:val="left"/>
        <w:rPr>
          <w:sz w:val="36"/>
        </w:rPr>
      </w:pPr>
    </w:p>
    <w:p w:rsidR="001F606E" w:rsidRDefault="00D9428C">
      <w:pPr>
        <w:pStyle w:val="Zkladntext"/>
        <w:spacing w:before="1"/>
        <w:ind w:left="242" w:firstLine="0"/>
        <w:jc w:val="left"/>
      </w:pPr>
      <w:r>
        <w:t>Příloha č. 1 – Specifické podmínky provozování pro vlastnický model provozování</w:t>
      </w:r>
    </w:p>
    <w:p w:rsidR="001F606E" w:rsidRDefault="001F606E">
      <w:pPr>
        <w:pStyle w:val="Zkladntext"/>
        <w:spacing w:before="1"/>
        <w:ind w:left="0" w:firstLine="0"/>
        <w:jc w:val="left"/>
        <w:rPr>
          <w:sz w:val="29"/>
        </w:rPr>
      </w:pPr>
    </w:p>
    <w:p w:rsidR="001F606E" w:rsidRDefault="00D9428C">
      <w:pPr>
        <w:pStyle w:val="Zkladntext"/>
        <w:spacing w:before="0"/>
        <w:ind w:left="242" w:firstLine="0"/>
        <w:jc w:val="left"/>
      </w:pPr>
      <w:r>
        <w:t>Příloha č. 2 - Stanovení finančních oprav, které se použijí v případě porušení povinností při zadávání zakázek/veřejných zakázek</w:t>
      </w:r>
    </w:p>
    <w:p w:rsidR="001F606E" w:rsidRDefault="001F606E">
      <w:pPr>
        <w:sectPr w:rsidR="001F606E">
          <w:pgSz w:w="12240" w:h="15840"/>
          <w:pgMar w:top="1060" w:right="1020" w:bottom="1160" w:left="1460" w:header="0" w:footer="882" w:gutter="0"/>
          <w:cols w:space="708"/>
        </w:sectPr>
      </w:pPr>
    </w:p>
    <w:p w:rsidR="001F606E" w:rsidRDefault="00D9428C">
      <w:pPr>
        <w:pStyle w:val="Nadpis1"/>
      </w:pPr>
      <w:r>
        <w:lastRenderedPageBreak/>
        <w:t>Příloha č. 1 ke Smlouvě o poskytnutí podpory ze Státního fondu životního prostředí České republiky</w:t>
      </w:r>
    </w:p>
    <w:p w:rsidR="001F606E" w:rsidRDefault="001F606E">
      <w:pPr>
        <w:pStyle w:val="Zkladntext"/>
        <w:spacing w:before="0"/>
        <w:ind w:left="0" w:firstLine="0"/>
        <w:jc w:val="left"/>
        <w:rPr>
          <w:rFonts w:ascii="Calibri"/>
          <w:sz w:val="22"/>
        </w:rPr>
      </w:pPr>
    </w:p>
    <w:p w:rsidR="001F606E" w:rsidRDefault="001F606E">
      <w:pPr>
        <w:pStyle w:val="Zkladntext"/>
        <w:spacing w:before="9"/>
        <w:ind w:left="0" w:firstLine="0"/>
        <w:jc w:val="left"/>
        <w:rPr>
          <w:rFonts w:ascii="Calibri"/>
          <w:sz w:val="21"/>
        </w:rPr>
      </w:pPr>
    </w:p>
    <w:p w:rsidR="001F606E" w:rsidRDefault="00D9428C">
      <w:pPr>
        <w:pStyle w:val="Nadpis2"/>
        <w:spacing w:line="264" w:lineRule="auto"/>
        <w:ind w:right="212"/>
        <w:jc w:val="left"/>
      </w:pPr>
      <w:r>
        <w:t>Specifické podmínky provozování pro vlastnický model provozování v souvislosti se  Svazem  VKMO s. r.</w:t>
      </w:r>
      <w:r>
        <w:rPr>
          <w:spacing w:val="-5"/>
        </w:rPr>
        <w:t xml:space="preserve"> </w:t>
      </w:r>
      <w:r>
        <w:t>o.</w:t>
      </w:r>
    </w:p>
    <w:p w:rsidR="001F606E" w:rsidRDefault="00D9428C">
      <w:pPr>
        <w:pStyle w:val="Odstavecseseznamem"/>
        <w:numPr>
          <w:ilvl w:val="0"/>
          <w:numId w:val="2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</w:t>
      </w:r>
      <w:r>
        <w:rPr>
          <w:sz w:val="20"/>
        </w:rPr>
        <w:t xml:space="preserve"> souhlasu k projektu provozována v rámci</w:t>
      </w:r>
      <w:r>
        <w:rPr>
          <w:spacing w:val="-13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-12"/>
          <w:sz w:val="20"/>
        </w:rPr>
        <w:t xml:space="preserve"> </w:t>
      </w:r>
      <w:r>
        <w:rPr>
          <w:sz w:val="20"/>
        </w:rPr>
        <w:t>modelu,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platit,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subjekt</w:t>
      </w:r>
      <w:r>
        <w:rPr>
          <w:spacing w:val="-12"/>
          <w:sz w:val="20"/>
        </w:rPr>
        <w:t xml:space="preserve"> </w:t>
      </w:r>
      <w:r>
        <w:rPr>
          <w:sz w:val="20"/>
        </w:rPr>
        <w:t>zodpovědný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100%</w:t>
      </w:r>
      <w:r>
        <w:rPr>
          <w:spacing w:val="-12"/>
          <w:sz w:val="20"/>
        </w:rPr>
        <w:t xml:space="preserve"> </w:t>
      </w:r>
      <w:r>
        <w:rPr>
          <w:sz w:val="20"/>
        </w:rPr>
        <w:t>vlastněn veřejným vlastníkem, kterým je Svaz VKMO s. r. o. a infrastrukturu provozuje na základě smlouvy nebo jiného místně platného pověření a přímo drží povolení k provozování. (k modelům provozování infrastruktury a podmínkám stanoveným pro vlastnický m</w:t>
      </w:r>
      <w:r>
        <w:rPr>
          <w:sz w:val="20"/>
        </w:rPr>
        <w:t>odel viz dokument „Metodika pro žadatele rozvádějící podmínky přílohy č. 6 Programového dokumentu OPŽP 2014 – 2020“ dále jen „Metodika“, která je součástí PrŽaP). Pro účely stanovení podmínek týkajících se provozování vodohospodářské infrastruktury se vodo</w:t>
      </w:r>
      <w:r>
        <w:rPr>
          <w:sz w:val="20"/>
        </w:rPr>
        <w:t>hospodářskou infrastrukturou rozumí celá složka infrastruktury pořízené (rekonstruované)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podporou</w:t>
      </w:r>
      <w:r>
        <w:rPr>
          <w:spacing w:val="-4"/>
          <w:sz w:val="20"/>
        </w:rPr>
        <w:t xml:space="preserve"> </w:t>
      </w:r>
      <w:r>
        <w:rPr>
          <w:sz w:val="20"/>
        </w:rPr>
        <w:t>poskytnutou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infrastruktura) a veškerá další infrastruktura provozovaná v této složce na území relevantní obce (po</w:t>
      </w:r>
      <w:r>
        <w:rPr>
          <w:sz w:val="20"/>
        </w:rPr>
        <w:t>drobněji viz Metodika) společně s podpořenou infrastrukturou v rámci podpořeného vlastnického modelu provozování.</w:t>
      </w:r>
    </w:p>
    <w:p w:rsidR="001F606E" w:rsidRDefault="00D9428C">
      <w:pPr>
        <w:pStyle w:val="Odstavecseseznamem"/>
        <w:numPr>
          <w:ilvl w:val="0"/>
          <w:numId w:val="2"/>
        </w:numPr>
        <w:tabs>
          <w:tab w:val="left" w:pos="526"/>
        </w:tabs>
        <w:spacing w:line="264" w:lineRule="auto"/>
        <w:ind w:right="116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 kolaudačního souhlasu k projektu bude z</w:t>
      </w:r>
      <w:r>
        <w:rPr>
          <w:sz w:val="20"/>
        </w:rPr>
        <w:t>abezpečena finanční udržitelnost projektu a to za podmínek stanovených Fondem. Změna výše prostředků na obnovu vodovodů a/nebo kanalizací je přípustné pouze z</w:t>
      </w:r>
      <w:r>
        <w:rPr>
          <w:spacing w:val="-2"/>
          <w:sz w:val="20"/>
        </w:rPr>
        <w:t xml:space="preserve"> </w:t>
      </w:r>
      <w:r>
        <w:rPr>
          <w:sz w:val="20"/>
        </w:rPr>
        <w:t>důvodu:</w:t>
      </w:r>
    </w:p>
    <w:p w:rsidR="001F606E" w:rsidRDefault="00D9428C">
      <w:pPr>
        <w:pStyle w:val="Odstavecseseznamem"/>
        <w:numPr>
          <w:ilvl w:val="1"/>
          <w:numId w:val="2"/>
        </w:numPr>
        <w:tabs>
          <w:tab w:val="left" w:pos="763"/>
        </w:tabs>
        <w:spacing w:line="264" w:lineRule="auto"/>
        <w:ind w:right="116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</w:t>
      </w:r>
      <w:r>
        <w:rPr>
          <w:sz w:val="20"/>
        </w:rPr>
        <w:t>ro vodné a/nebo stočné,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1F606E" w:rsidRDefault="00D9428C">
      <w:pPr>
        <w:pStyle w:val="Odstavecseseznamem"/>
        <w:numPr>
          <w:ilvl w:val="1"/>
          <w:numId w:val="2"/>
        </w:numPr>
        <w:tabs>
          <w:tab w:val="left" w:pos="749"/>
        </w:tabs>
        <w:spacing w:before="120" w:line="264" w:lineRule="auto"/>
        <w:ind w:right="110" w:firstLine="0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úroveň,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14"/>
          <w:sz w:val="20"/>
        </w:rPr>
        <w:t xml:space="preserve"> </w:t>
      </w:r>
      <w:r>
        <w:rPr>
          <w:sz w:val="20"/>
        </w:rPr>
        <w:t>vytváří</w:t>
      </w:r>
      <w:r>
        <w:rPr>
          <w:spacing w:val="-13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správu,</w:t>
      </w:r>
      <w:r>
        <w:rPr>
          <w:spacing w:val="-13"/>
          <w:sz w:val="20"/>
        </w:rPr>
        <w:t xml:space="preserve"> </w:t>
      </w:r>
      <w:r>
        <w:rPr>
          <w:sz w:val="20"/>
        </w:rPr>
        <w:t>obnovu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4"/>
          <w:sz w:val="20"/>
        </w:rPr>
        <w:t xml:space="preserve"> </w:t>
      </w:r>
      <w:r>
        <w:rPr>
          <w:sz w:val="20"/>
        </w:rPr>
        <w:t>rozšíření</w:t>
      </w:r>
      <w:r>
        <w:rPr>
          <w:spacing w:val="-13"/>
          <w:sz w:val="20"/>
        </w:rPr>
        <w:t xml:space="preserve"> </w:t>
      </w:r>
      <w:r>
        <w:rPr>
          <w:sz w:val="20"/>
        </w:rPr>
        <w:t>vodovodů a kanalizací minimálně ve výši „plných odpisů“. V obou případech je nezbytné, 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1F606E" w:rsidRDefault="00D9428C">
      <w:pPr>
        <w:pStyle w:val="Odstavecseseznamem"/>
        <w:numPr>
          <w:ilvl w:val="0"/>
          <w:numId w:val="2"/>
        </w:numPr>
        <w:tabs>
          <w:tab w:val="left" w:pos="526"/>
        </w:tabs>
        <w:spacing w:before="119" w:line="264" w:lineRule="auto"/>
        <w:ind w:right="120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 xml:space="preserve"> </w:t>
      </w:r>
      <w:r>
        <w:rPr>
          <w:sz w:val="20"/>
        </w:rPr>
        <w:t>příjem</w:t>
      </w:r>
      <w:r>
        <w:rPr>
          <w:spacing w:val="-4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nájemné)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použit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principy péče 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hospodáře.</w:t>
      </w:r>
    </w:p>
    <w:p w:rsidR="001F606E" w:rsidRDefault="00D9428C">
      <w:pPr>
        <w:pStyle w:val="Odstavecseseznamem"/>
        <w:numPr>
          <w:ilvl w:val="0"/>
          <w:numId w:val="2"/>
        </w:numPr>
        <w:tabs>
          <w:tab w:val="left" w:pos="526"/>
        </w:tabs>
        <w:spacing w:before="120" w:line="264" w:lineRule="auto"/>
        <w:ind w:right="114"/>
        <w:jc w:val="both"/>
        <w:rPr>
          <w:sz w:val="20"/>
        </w:rPr>
      </w:pPr>
      <w:r>
        <w:rPr>
          <w:sz w:val="20"/>
        </w:rPr>
        <w:t xml:space="preserve">Příjemce podpory je povinen zajistit, že relevantní požadavky kladené </w:t>
      </w:r>
      <w:r>
        <w:rPr>
          <w:spacing w:val="3"/>
          <w:sz w:val="20"/>
        </w:rPr>
        <w:t xml:space="preserve">na </w:t>
      </w:r>
      <w:r>
        <w:rPr>
          <w:sz w:val="20"/>
        </w:rPr>
        <w:t>provozní smlouvy budou aplikovány na „související provo</w:t>
      </w:r>
      <w:r>
        <w:rPr>
          <w:sz w:val="20"/>
        </w:rPr>
        <w:t>zní smlouvy“ ve smyslu Metodiky s tím, že v případě ukončení platnosti související provozní smlouvy je vlastník infrastruktury, která je předmětem související provozní smlouvy, oprávněn změnit provozní model.</w:t>
      </w:r>
    </w:p>
    <w:p w:rsidR="001F606E" w:rsidRDefault="00D9428C">
      <w:pPr>
        <w:pStyle w:val="Odstavecseseznamem"/>
        <w:numPr>
          <w:ilvl w:val="0"/>
          <w:numId w:val="2"/>
        </w:numPr>
        <w:tabs>
          <w:tab w:val="left" w:pos="550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 xml:space="preserve">Příjemce podpory zajistí, že nejpozději do 31. 12. kalendářního roku, ve kterém dojde k nabytí právní moci posledního kolaudačního souhlasu k projektu, bude doložen převod vlastnictví vodohospodářské infrastruktury v podpořené složce na katastrálním území </w:t>
      </w:r>
      <w:r>
        <w:rPr>
          <w:sz w:val="20"/>
        </w:rPr>
        <w:t>relevantní obce z městysu Stařeč na příjemce podpory.</w:t>
      </w:r>
    </w:p>
    <w:p w:rsidR="001F606E" w:rsidRDefault="001F606E">
      <w:pPr>
        <w:spacing w:line="264" w:lineRule="auto"/>
        <w:jc w:val="both"/>
        <w:rPr>
          <w:sz w:val="20"/>
        </w:rPr>
        <w:sectPr w:rsidR="001F606E">
          <w:pgSz w:w="12240" w:h="15840"/>
          <w:pgMar w:top="1500" w:right="1020" w:bottom="1160" w:left="1460" w:header="0" w:footer="882" w:gutter="0"/>
          <w:cols w:space="708"/>
        </w:sectPr>
      </w:pPr>
    </w:p>
    <w:p w:rsidR="001F606E" w:rsidRDefault="00D9428C">
      <w:pPr>
        <w:pStyle w:val="Nadpis1"/>
        <w:spacing w:before="73"/>
      </w:pPr>
      <w:r>
        <w:rPr>
          <w:rFonts w:ascii="Segoe UI" w:hAnsi="Segoe UI"/>
          <w:sz w:val="20"/>
        </w:rPr>
        <w:lastRenderedPageBreak/>
        <w:t xml:space="preserve">Příloha č. 2 </w:t>
      </w:r>
      <w:r>
        <w:t>ke Smlouvě o poskytnutí podpory ze Státního fondu životního prostředí České republiky</w:t>
      </w:r>
    </w:p>
    <w:p w:rsidR="001F606E" w:rsidRDefault="001F606E">
      <w:pPr>
        <w:pStyle w:val="Zkladntext"/>
        <w:spacing w:before="9"/>
        <w:ind w:left="0" w:firstLine="0"/>
        <w:jc w:val="left"/>
        <w:rPr>
          <w:rFonts w:ascii="Calibri"/>
          <w:sz w:val="31"/>
        </w:rPr>
      </w:pPr>
    </w:p>
    <w:p w:rsidR="001F606E" w:rsidRDefault="00D9428C">
      <w:pPr>
        <w:pStyle w:val="Nadpis2"/>
        <w:spacing w:line="264" w:lineRule="auto"/>
        <w:ind w:right="0"/>
        <w:jc w:val="left"/>
      </w:pPr>
      <w:r>
        <w:t xml:space="preserve">Stanovení finančních oprav, které se použijí v případě porušení povinností při zadávání </w:t>
      </w:r>
      <w:r>
        <w:t>zakázek/ veřejných zakázek</w:t>
      </w:r>
    </w:p>
    <w:p w:rsidR="001F606E" w:rsidRDefault="001F606E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rozpočtových pravidel a o změně některých souvisejících zákonů, ve znění pozdějších předpisů, stanovuje výše finanční opravy za porušení rozpočtové kázně v  případě  </w:t>
      </w:r>
      <w:r>
        <w:rPr>
          <w:sz w:val="20"/>
        </w:rPr>
        <w:t>pochybení,  které spočívá v  porušení  povinností stanovených v článku IV bodu 2) písm. j) Smlouvy při zadávání zakázek/veřejných zakázek (dále souhrnně</w:t>
      </w:r>
      <w:r>
        <w:rPr>
          <w:spacing w:val="51"/>
          <w:sz w:val="20"/>
        </w:rPr>
        <w:t xml:space="preserve"> </w:t>
      </w:r>
      <w:r>
        <w:rPr>
          <w:sz w:val="20"/>
        </w:rPr>
        <w:t>jen</w:t>
      </w:r>
    </w:p>
    <w:p w:rsidR="001F606E" w:rsidRDefault="00D9428C">
      <w:pPr>
        <w:pStyle w:val="Zkladntext"/>
        <w:spacing w:before="1" w:line="264" w:lineRule="auto"/>
        <w:ind w:left="669" w:right="110" w:firstLine="0"/>
      </w:pPr>
      <w:r>
        <w:t>„veřejné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</w:t>
      </w:r>
      <w:r>
        <w:t xml:space="preserve"> zakázek, ve znění účinném v době zahájení zadávacího řízení, případně zákona č. 137/2006</w:t>
      </w:r>
      <w:r>
        <w:rPr>
          <w:spacing w:val="8"/>
        </w:rPr>
        <w:t xml:space="preserve"> </w:t>
      </w:r>
      <w:r>
        <w:t>Sb.,</w:t>
      </w:r>
    </w:p>
    <w:p w:rsidR="001F606E" w:rsidRDefault="00D9428C">
      <w:pPr>
        <w:pStyle w:val="Zkladntext"/>
        <w:spacing w:before="1" w:line="264" w:lineRule="auto"/>
        <w:ind w:left="669" w:right="108" w:firstLine="0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veřejných zakázek v OPŽP 2014</w:t>
      </w:r>
      <w:r>
        <w:t xml:space="preserve"> – 2020, ve znění účinném v době zahájení výběrového/zadávacího řízení (dále jen „Zadávání VZ v</w:t>
      </w:r>
      <w:r>
        <w:rPr>
          <w:spacing w:val="-2"/>
        </w:rPr>
        <w:t xml:space="preserve"> </w:t>
      </w:r>
      <w:r>
        <w:t>OPŽP“).</w:t>
      </w: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before="119" w:line="264" w:lineRule="auto"/>
        <w:ind w:right="10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</w:t>
      </w:r>
      <w:r>
        <w:rPr>
          <w:sz w:val="20"/>
        </w:rPr>
        <w:t xml:space="preserve"> podle typu porušení, viz tabulka níže.</w:t>
      </w: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line="264" w:lineRule="auto"/>
        <w:ind w:right="109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u veřejné zakázky bude ide</w:t>
      </w:r>
      <w:r>
        <w:rPr>
          <w:sz w:val="20"/>
        </w:rPr>
        <w:t>ntifikováno více porušení, výše finančních oprav stanovených za jednotlivá porušení se nesčítají a výsledná finanční oprava je stanovena s ohledem na nejzávažnější porušení.</w:t>
      </w: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before="119" w:line="264" w:lineRule="auto"/>
        <w:ind w:right="109"/>
        <w:jc w:val="both"/>
        <w:rPr>
          <w:sz w:val="20"/>
        </w:rPr>
      </w:pPr>
      <w:r>
        <w:rPr>
          <w:sz w:val="20"/>
        </w:rPr>
        <w:t xml:space="preserve">Závažnost  porušení  je  posuzována  zejména  z  hlediska  jeho  skutečného  nebo </w:t>
      </w:r>
      <w:r>
        <w:rPr>
          <w:sz w:val="20"/>
        </w:rPr>
        <w:t xml:space="preserve"> možného  vlivu 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3"/>
          <w:sz w:val="20"/>
        </w:rPr>
        <w:t xml:space="preserve"> </w:t>
      </w:r>
      <w:r>
        <w:rPr>
          <w:sz w:val="20"/>
        </w:rPr>
        <w:t>zadána.</w:t>
      </w:r>
    </w:p>
    <w:p w:rsidR="001F606E" w:rsidRDefault="00D9428C">
      <w:pPr>
        <w:pStyle w:val="Odstavecseseznamem"/>
        <w:numPr>
          <w:ilvl w:val="0"/>
          <w:numId w:val="1"/>
        </w:numPr>
        <w:tabs>
          <w:tab w:val="left" w:pos="670"/>
        </w:tabs>
        <w:spacing w:line="264" w:lineRule="auto"/>
        <w:ind w:right="116"/>
        <w:jc w:val="both"/>
        <w:rPr>
          <w:sz w:val="20"/>
        </w:rPr>
      </w:pPr>
      <w:r>
        <w:rPr>
          <w:sz w:val="20"/>
        </w:rPr>
        <w:t>V případě, že bude identifikov</w:t>
      </w:r>
      <w:r>
        <w:rPr>
          <w:sz w:val="20"/>
        </w:rPr>
        <w:t>áno porušení, které nelze podřadit pod konkrétní typ porušení uvedený v tabulce níže, bude stanovena finanční oprava dle zásady</w:t>
      </w:r>
      <w:r>
        <w:rPr>
          <w:spacing w:val="-7"/>
          <w:sz w:val="20"/>
        </w:rPr>
        <w:t xml:space="preserve"> </w:t>
      </w:r>
      <w:r>
        <w:rPr>
          <w:sz w:val="20"/>
        </w:rPr>
        <w:t>přiměřenosti.</w:t>
      </w:r>
    </w:p>
    <w:p w:rsidR="001F606E" w:rsidRDefault="001F606E">
      <w:pPr>
        <w:spacing w:line="264" w:lineRule="auto"/>
        <w:jc w:val="both"/>
        <w:rPr>
          <w:sz w:val="20"/>
        </w:rPr>
        <w:sectPr w:rsidR="001F606E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F606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F606E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F606E" w:rsidRDefault="00D9428C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1F606E" w:rsidRDefault="00D942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1F606E" w:rsidRDefault="00D9428C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F606E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1F606E" w:rsidRDefault="00D9428C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1F606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1F606E" w:rsidRDefault="00D9428C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1F606E" w:rsidRDefault="00D9428C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F606E" w:rsidRDefault="00D9428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F606E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1F606E" w:rsidRDefault="00D9428C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1F606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1F606E" w:rsidRDefault="00D9428C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1F606E" w:rsidRDefault="00D9428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1F606E" w:rsidRDefault="00D9428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1F606E" w:rsidRDefault="00D9428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1F606E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</w:t>
            </w:r>
          </w:p>
        </w:tc>
      </w:tr>
      <w:tr w:rsidR="001F606E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1F606E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1F606E" w:rsidRDefault="00D9428C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1F606E" w:rsidRDefault="00D9428C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1F606E" w:rsidRDefault="00D9428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1F606E" w:rsidRDefault="00D9428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1F606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1F606E" w:rsidRDefault="00D9428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1F606E" w:rsidRDefault="00D9428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1F606E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1F606E" w:rsidRDefault="00D9428C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1F606E" w:rsidRDefault="001F606E">
      <w:pPr>
        <w:spacing w:line="261" w:lineRule="auto"/>
        <w:rPr>
          <w:sz w:val="20"/>
        </w:rPr>
        <w:sectPr w:rsidR="001F606E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F606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F606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1F606E" w:rsidRDefault="00D9428C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1F606E" w:rsidRDefault="00D9428C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1F606E" w:rsidRDefault="00D9428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1F606E" w:rsidRDefault="00D9428C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1F606E" w:rsidRDefault="00D9428C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1F606E" w:rsidRDefault="00D9428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F606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1F606E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1F606E" w:rsidRDefault="00D9428C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1F606E" w:rsidRDefault="00D9428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1F606E" w:rsidRDefault="00D9428C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1F606E" w:rsidRDefault="00D9428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F606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1F606E" w:rsidRDefault="00D9428C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F606E" w:rsidRDefault="00D9428C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F606E" w:rsidRDefault="00D9428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1F606E" w:rsidRDefault="00D9428C">
            <w:pPr>
              <w:pStyle w:val="TableParagraph"/>
              <w:spacing w:before="1" w:line="261" w:lineRule="auto"/>
              <w:ind w:left="117" w:right="124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1F606E" w:rsidRDefault="00D9428C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1F606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1F606E" w:rsidRDefault="00D9428C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1F606E" w:rsidRDefault="00D9428C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1F606E" w:rsidRDefault="00D942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1F606E" w:rsidRDefault="00D9428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1F606E" w:rsidRDefault="00D9428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1F606E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1F606E" w:rsidRDefault="00D9428C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1F606E" w:rsidRDefault="00D9428C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1F606E" w:rsidRDefault="001F606E">
      <w:pPr>
        <w:spacing w:line="264" w:lineRule="auto"/>
        <w:rPr>
          <w:sz w:val="20"/>
        </w:rPr>
        <w:sectPr w:rsidR="001F606E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F606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F606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1F606E" w:rsidRDefault="00D9428C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1F606E" w:rsidRDefault="00D9428C">
            <w:pPr>
              <w:pStyle w:val="TableParagraph"/>
              <w:spacing w:before="1" w:line="264" w:lineRule="auto"/>
              <w:ind w:right="185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1F606E" w:rsidRDefault="00D942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F606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1F606E" w:rsidRDefault="00D9428C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F606E" w:rsidRDefault="00D9428C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1F606E" w:rsidRDefault="00D9428C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1F606E" w:rsidRDefault="00D9428C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F606E" w:rsidRDefault="00D9428C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F606E" w:rsidRDefault="00D9428C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F606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1F606E" w:rsidRDefault="00D9428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F606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1F606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1F606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1F606E" w:rsidRDefault="00D942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F606E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1F606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F606E" w:rsidRDefault="00D9428C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1F606E" w:rsidRDefault="00D9428C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1F606E" w:rsidRDefault="00D9428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F606E" w:rsidRDefault="00D9428C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F606E" w:rsidRDefault="00D9428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F606E">
        <w:trPr>
          <w:trHeight w:val="518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1F60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F606E" w:rsidRDefault="001F606E">
      <w:pPr>
        <w:rPr>
          <w:rFonts w:ascii="Times New Roman"/>
          <w:sz w:val="18"/>
        </w:rPr>
        <w:sectPr w:rsidR="001F606E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F606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F606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F606E" w:rsidRDefault="00D9428C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1F606E" w:rsidRDefault="00D9428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1F606E" w:rsidRDefault="00D942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1F606E" w:rsidRDefault="00D9428C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F606E" w:rsidRDefault="00D942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F606E" w:rsidRDefault="00D9428C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1F606E" w:rsidRDefault="00D9428C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F606E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1F606E" w:rsidRDefault="00D9428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1F606E" w:rsidRDefault="00D9428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1F606E" w:rsidRDefault="00D9428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1F606E" w:rsidRDefault="00D9428C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1F606E" w:rsidRDefault="00D9428C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1F606E" w:rsidRDefault="00D942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1F606E" w:rsidRDefault="00D9428C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1F606E" w:rsidRDefault="00D9428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F606E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1F606E" w:rsidRDefault="00D9428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1F606E" w:rsidRDefault="00D9428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F606E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1F606E" w:rsidRDefault="00D9428C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1F606E" w:rsidRDefault="00D9428C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1F606E" w:rsidRDefault="001F606E">
      <w:pPr>
        <w:rPr>
          <w:sz w:val="20"/>
        </w:rPr>
        <w:sectPr w:rsidR="001F606E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F606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F606E" w:rsidRDefault="00D9428C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F606E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8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1F606E" w:rsidRDefault="00D9428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1F606E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1F606E" w:rsidRDefault="00D9428C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1F606E" w:rsidRDefault="00D9428C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1F606E" w:rsidRDefault="00D9428C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1F606E" w:rsidRDefault="00D9428C">
            <w:pPr>
              <w:pStyle w:val="TableParagraph"/>
              <w:spacing w:before="147" w:line="264" w:lineRule="auto"/>
              <w:ind w:left="117" w:right="75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1F606E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1F606E" w:rsidRDefault="00D9428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1F606E" w:rsidRDefault="00D9428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F606E" w:rsidRDefault="00D9428C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1F606E" w:rsidRDefault="00D9428C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1F606E" w:rsidRDefault="00D9428C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1F606E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1F606E" w:rsidRDefault="00D9428C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1F606E" w:rsidRDefault="00D9428C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1F606E" w:rsidRDefault="00D9428C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F606E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606E" w:rsidRDefault="00D9428C">
            <w:pPr>
              <w:pStyle w:val="TableParagraph"/>
              <w:spacing w:before="108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1F606E" w:rsidRDefault="00D9428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1F606E" w:rsidRDefault="00D9428C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1F606E" w:rsidRDefault="00D9428C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j)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606E" w:rsidRDefault="00D9428C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F606E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606E" w:rsidRDefault="001F606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1F606E" w:rsidRDefault="00D9428C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D9428C" w:rsidRDefault="00D9428C"/>
    <w:sectPr w:rsidR="00D9428C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8C" w:rsidRDefault="00D9428C">
      <w:r>
        <w:separator/>
      </w:r>
    </w:p>
  </w:endnote>
  <w:endnote w:type="continuationSeparator" w:id="0">
    <w:p w:rsidR="00D9428C" w:rsidRDefault="00D9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6E" w:rsidRDefault="00D9428C">
    <w:pPr>
      <w:pStyle w:val="Zkladntext"/>
      <w:spacing w:before="0"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1F606E" w:rsidRDefault="00D9428C">
                <w:pPr>
                  <w:pStyle w:val="Zkladntext"/>
                  <w:spacing w:before="10"/>
                  <w:ind w:left="60" w:firstLine="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06510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8C" w:rsidRDefault="00D9428C">
      <w:r>
        <w:separator/>
      </w:r>
    </w:p>
  </w:footnote>
  <w:footnote w:type="continuationSeparator" w:id="0">
    <w:p w:rsidR="00D9428C" w:rsidRDefault="00D9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333"/>
    <w:multiLevelType w:val="hybridMultilevel"/>
    <w:tmpl w:val="06B6F204"/>
    <w:lvl w:ilvl="0" w:tplc="02C8192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958ACE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CF25C3E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3E3CCD5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79AE7918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244E2E7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612EC1C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7C6827E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C73A99E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4490699"/>
    <w:multiLevelType w:val="hybridMultilevel"/>
    <w:tmpl w:val="8E328822"/>
    <w:lvl w:ilvl="0" w:tplc="F1F62FB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120624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EA066B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4FC5A5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7FA90D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0FC06A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ADAC67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D4659E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028791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EDA59AD"/>
    <w:multiLevelType w:val="hybridMultilevel"/>
    <w:tmpl w:val="0496662C"/>
    <w:lvl w:ilvl="0" w:tplc="2D5C945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982BC1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7265DB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6AC711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6244D1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25A1EE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36CC30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DDC139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642F7E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2287251"/>
    <w:multiLevelType w:val="hybridMultilevel"/>
    <w:tmpl w:val="A2D40BD2"/>
    <w:lvl w:ilvl="0" w:tplc="C66CAA1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3721CB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AC6BF6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CEEEAD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980587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898477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230D75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FF4A8A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2B898A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E8C1194"/>
    <w:multiLevelType w:val="hybridMultilevel"/>
    <w:tmpl w:val="2EA0394E"/>
    <w:lvl w:ilvl="0" w:tplc="D1D467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3A0207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F08E7C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412ED0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0FCDF7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5AE757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3DAA5E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A8E2A5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0746D1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29031AB"/>
    <w:multiLevelType w:val="hybridMultilevel"/>
    <w:tmpl w:val="354AA3DC"/>
    <w:lvl w:ilvl="0" w:tplc="D928538C">
      <w:start w:val="1"/>
      <w:numFmt w:val="upperRoman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7702F920">
      <w:start w:val="1"/>
      <w:numFmt w:val="lowerLetter"/>
      <w:lvlText w:val="%2)"/>
      <w:lvlJc w:val="left"/>
      <w:pPr>
        <w:ind w:left="525" w:hanging="23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D0C0D186">
      <w:numFmt w:val="bullet"/>
      <w:lvlText w:val="•"/>
      <w:lvlJc w:val="left"/>
      <w:pPr>
        <w:ind w:left="2368" w:hanging="238"/>
      </w:pPr>
      <w:rPr>
        <w:rFonts w:hint="default"/>
        <w:lang w:val="cs-CZ" w:eastAsia="cs-CZ" w:bidi="cs-CZ"/>
      </w:rPr>
    </w:lvl>
    <w:lvl w:ilvl="3" w:tplc="90220D9E">
      <w:numFmt w:val="bullet"/>
      <w:lvlText w:val="•"/>
      <w:lvlJc w:val="left"/>
      <w:pPr>
        <w:ind w:left="3292" w:hanging="238"/>
      </w:pPr>
      <w:rPr>
        <w:rFonts w:hint="default"/>
        <w:lang w:val="cs-CZ" w:eastAsia="cs-CZ" w:bidi="cs-CZ"/>
      </w:rPr>
    </w:lvl>
    <w:lvl w:ilvl="4" w:tplc="D2AA5674">
      <w:numFmt w:val="bullet"/>
      <w:lvlText w:val="•"/>
      <w:lvlJc w:val="left"/>
      <w:pPr>
        <w:ind w:left="4216" w:hanging="238"/>
      </w:pPr>
      <w:rPr>
        <w:rFonts w:hint="default"/>
        <w:lang w:val="cs-CZ" w:eastAsia="cs-CZ" w:bidi="cs-CZ"/>
      </w:rPr>
    </w:lvl>
    <w:lvl w:ilvl="5" w:tplc="15DE3D20">
      <w:numFmt w:val="bullet"/>
      <w:lvlText w:val="•"/>
      <w:lvlJc w:val="left"/>
      <w:pPr>
        <w:ind w:left="5140" w:hanging="238"/>
      </w:pPr>
      <w:rPr>
        <w:rFonts w:hint="default"/>
        <w:lang w:val="cs-CZ" w:eastAsia="cs-CZ" w:bidi="cs-CZ"/>
      </w:rPr>
    </w:lvl>
    <w:lvl w:ilvl="6" w:tplc="62D26700">
      <w:numFmt w:val="bullet"/>
      <w:lvlText w:val="•"/>
      <w:lvlJc w:val="left"/>
      <w:pPr>
        <w:ind w:left="6064" w:hanging="238"/>
      </w:pPr>
      <w:rPr>
        <w:rFonts w:hint="default"/>
        <w:lang w:val="cs-CZ" w:eastAsia="cs-CZ" w:bidi="cs-CZ"/>
      </w:rPr>
    </w:lvl>
    <w:lvl w:ilvl="7" w:tplc="C00079E6">
      <w:numFmt w:val="bullet"/>
      <w:lvlText w:val="•"/>
      <w:lvlJc w:val="left"/>
      <w:pPr>
        <w:ind w:left="6988" w:hanging="238"/>
      </w:pPr>
      <w:rPr>
        <w:rFonts w:hint="default"/>
        <w:lang w:val="cs-CZ" w:eastAsia="cs-CZ" w:bidi="cs-CZ"/>
      </w:rPr>
    </w:lvl>
    <w:lvl w:ilvl="8" w:tplc="FF96EB96">
      <w:numFmt w:val="bullet"/>
      <w:lvlText w:val="•"/>
      <w:lvlJc w:val="left"/>
      <w:pPr>
        <w:ind w:left="7912" w:hanging="238"/>
      </w:pPr>
      <w:rPr>
        <w:rFonts w:hint="default"/>
        <w:lang w:val="cs-CZ" w:eastAsia="cs-CZ" w:bidi="cs-CZ"/>
      </w:rPr>
    </w:lvl>
  </w:abstractNum>
  <w:abstractNum w:abstractNumId="6" w15:restartNumberingAfterBreak="0">
    <w:nsid w:val="5C015C65"/>
    <w:multiLevelType w:val="hybridMultilevel"/>
    <w:tmpl w:val="C2A4C2C0"/>
    <w:lvl w:ilvl="0" w:tplc="EC367DAA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730AB374">
      <w:numFmt w:val="bullet"/>
      <w:lvlText w:val="•"/>
      <w:lvlJc w:val="left"/>
      <w:pPr>
        <w:ind w:left="1570" w:hanging="428"/>
      </w:pPr>
      <w:rPr>
        <w:rFonts w:hint="default"/>
        <w:lang w:val="cs-CZ" w:eastAsia="cs-CZ" w:bidi="cs-CZ"/>
      </w:rPr>
    </w:lvl>
    <w:lvl w:ilvl="2" w:tplc="D6506E0A">
      <w:numFmt w:val="bullet"/>
      <w:lvlText w:val="•"/>
      <w:lvlJc w:val="left"/>
      <w:pPr>
        <w:ind w:left="2480" w:hanging="428"/>
      </w:pPr>
      <w:rPr>
        <w:rFonts w:hint="default"/>
        <w:lang w:val="cs-CZ" w:eastAsia="cs-CZ" w:bidi="cs-CZ"/>
      </w:rPr>
    </w:lvl>
    <w:lvl w:ilvl="3" w:tplc="D310A62E">
      <w:numFmt w:val="bullet"/>
      <w:lvlText w:val="•"/>
      <w:lvlJc w:val="left"/>
      <w:pPr>
        <w:ind w:left="3390" w:hanging="428"/>
      </w:pPr>
      <w:rPr>
        <w:rFonts w:hint="default"/>
        <w:lang w:val="cs-CZ" w:eastAsia="cs-CZ" w:bidi="cs-CZ"/>
      </w:rPr>
    </w:lvl>
    <w:lvl w:ilvl="4" w:tplc="9FFE7C72">
      <w:numFmt w:val="bullet"/>
      <w:lvlText w:val="•"/>
      <w:lvlJc w:val="left"/>
      <w:pPr>
        <w:ind w:left="4300" w:hanging="428"/>
      </w:pPr>
      <w:rPr>
        <w:rFonts w:hint="default"/>
        <w:lang w:val="cs-CZ" w:eastAsia="cs-CZ" w:bidi="cs-CZ"/>
      </w:rPr>
    </w:lvl>
    <w:lvl w:ilvl="5" w:tplc="A98CDF68">
      <w:numFmt w:val="bullet"/>
      <w:lvlText w:val="•"/>
      <w:lvlJc w:val="left"/>
      <w:pPr>
        <w:ind w:left="5210" w:hanging="428"/>
      </w:pPr>
      <w:rPr>
        <w:rFonts w:hint="default"/>
        <w:lang w:val="cs-CZ" w:eastAsia="cs-CZ" w:bidi="cs-CZ"/>
      </w:rPr>
    </w:lvl>
    <w:lvl w:ilvl="6" w:tplc="42B47A12">
      <w:numFmt w:val="bullet"/>
      <w:lvlText w:val="•"/>
      <w:lvlJc w:val="left"/>
      <w:pPr>
        <w:ind w:left="6120" w:hanging="428"/>
      </w:pPr>
      <w:rPr>
        <w:rFonts w:hint="default"/>
        <w:lang w:val="cs-CZ" w:eastAsia="cs-CZ" w:bidi="cs-CZ"/>
      </w:rPr>
    </w:lvl>
    <w:lvl w:ilvl="7" w:tplc="94621746">
      <w:numFmt w:val="bullet"/>
      <w:lvlText w:val="•"/>
      <w:lvlJc w:val="left"/>
      <w:pPr>
        <w:ind w:left="7030" w:hanging="428"/>
      </w:pPr>
      <w:rPr>
        <w:rFonts w:hint="default"/>
        <w:lang w:val="cs-CZ" w:eastAsia="cs-CZ" w:bidi="cs-CZ"/>
      </w:rPr>
    </w:lvl>
    <w:lvl w:ilvl="8" w:tplc="5C6066F8">
      <w:numFmt w:val="bullet"/>
      <w:lvlText w:val="•"/>
      <w:lvlJc w:val="left"/>
      <w:pPr>
        <w:ind w:left="7940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78AB035C"/>
    <w:multiLevelType w:val="hybridMultilevel"/>
    <w:tmpl w:val="442A6EBA"/>
    <w:lvl w:ilvl="0" w:tplc="4BB2736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C3A726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9EC65AC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DD7213D2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AC88901A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B180FD9C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F9D04C58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5D98E3FE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033431D4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F606E"/>
    <w:rsid w:val="00006510"/>
    <w:rsid w:val="001F606E"/>
    <w:rsid w:val="00D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46CAAE"/>
  <w15:docId w15:val="{BB312DDA-53A6-4987-906F-0479DEB5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45"/>
      <w:ind w:left="242"/>
      <w:outlineLvl w:val="0"/>
    </w:pPr>
    <w:rPr>
      <w:rFonts w:ascii="Calibri" w:eastAsia="Calibri" w:hAnsi="Calibri" w:cs="Calibri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5326</Words>
  <Characters>31424</Characters>
  <Application>Microsoft Office Word</Application>
  <DocSecurity>0</DocSecurity>
  <Lines>261</Lines>
  <Paragraphs>73</Paragraphs>
  <ScaleCrop>false</ScaleCrop>
  <Company>SFZP</Company>
  <LinksUpToDate>false</LinksUpToDate>
  <CharactersWithSpaces>36677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2021-07-19T10:54:00Z</dcterms:created>
  <dcterms:modified xsi:type="dcterms:W3CDTF">2021-07-19T10:55:00Z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