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8181" w14:textId="6C22F548" w:rsidR="00D0173B" w:rsidRPr="00871794" w:rsidRDefault="009A4468" w:rsidP="00D0173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Cs w:val="22"/>
        </w:rPr>
      </w:pPr>
      <w:r>
        <w:rPr>
          <w:rFonts w:ascii="Calibri" w:hAnsi="Calibri"/>
          <w:b/>
          <w:bCs/>
          <w:color w:val="000000"/>
          <w:szCs w:val="22"/>
        </w:rPr>
        <w:t>PŘIDANÁ HODNOTA</w:t>
      </w:r>
    </w:p>
    <w:p w14:paraId="75ED374F" w14:textId="77777777" w:rsidR="00D0173B" w:rsidRPr="006D2A62" w:rsidRDefault="00D0173B" w:rsidP="00D0173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14:paraId="286FBEDF" w14:textId="3A878274" w:rsidR="00D0173B" w:rsidRDefault="00D0173B" w:rsidP="00EF783E">
      <w:pP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bCs/>
          <w:color w:val="000000"/>
          <w:szCs w:val="22"/>
        </w:rPr>
      </w:pPr>
      <w:r w:rsidRPr="00871794">
        <w:rPr>
          <w:rFonts w:ascii="Calibri" w:hAnsi="Calibri"/>
          <w:b/>
          <w:bCs/>
          <w:color w:val="000000"/>
          <w:szCs w:val="22"/>
        </w:rPr>
        <w:t>Veřejná zakázka: „</w:t>
      </w:r>
      <w:r w:rsidR="007C2D64" w:rsidRPr="007C2D64">
        <w:rPr>
          <w:rFonts w:ascii="Calibri" w:hAnsi="Calibri"/>
          <w:b/>
          <w:bCs/>
          <w:iCs/>
          <w:color w:val="000000"/>
          <w:szCs w:val="22"/>
        </w:rPr>
        <w:t>Domov pro seniory Sokolnice – humanizace pobytových služeb</w:t>
      </w:r>
      <w:r w:rsidRPr="00871794">
        <w:rPr>
          <w:rFonts w:ascii="Calibri" w:hAnsi="Calibri"/>
          <w:b/>
          <w:bCs/>
          <w:color w:val="000000"/>
          <w:szCs w:val="22"/>
        </w:rPr>
        <w:t>“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6049"/>
      </w:tblGrid>
      <w:tr w:rsidR="009E4387" w:rsidRPr="009E4387" w14:paraId="6615E523" w14:textId="77777777" w:rsidTr="009E4387">
        <w:trPr>
          <w:trHeight w:val="57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4A90F2D" w14:textId="77777777" w:rsidR="009E4387" w:rsidRPr="009E4387" w:rsidRDefault="009E4387" w:rsidP="009E438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4387">
              <w:rPr>
                <w:rFonts w:ascii="Calibri" w:hAnsi="Calibri" w:cs="Calibri"/>
                <w:b/>
                <w:bCs/>
                <w:sz w:val="22"/>
                <w:szCs w:val="22"/>
              </w:rPr>
              <w:t>Název přidané hodnoty</w:t>
            </w:r>
            <w:r w:rsidRPr="009E43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4B81BF8" w14:textId="77777777" w:rsidR="009E4387" w:rsidRPr="009E4387" w:rsidRDefault="009E4387" w:rsidP="009E438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4387">
              <w:rPr>
                <w:rFonts w:ascii="Calibri" w:hAnsi="Calibri" w:cs="Calibri"/>
                <w:b/>
                <w:bCs/>
                <w:sz w:val="22"/>
                <w:szCs w:val="22"/>
              </w:rPr>
              <w:t>Zhotovitel přidanou hodnotu nabízí </w:t>
            </w:r>
            <w:r w:rsidRPr="009E43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E4387" w:rsidRPr="009E4387" w14:paraId="11D2338B" w14:textId="77777777" w:rsidTr="009E4387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46D11" w14:textId="01FDD4DA" w:rsidR="009E4387" w:rsidRPr="009E4387" w:rsidRDefault="009E4387" w:rsidP="009E438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4387">
              <w:rPr>
                <w:rFonts w:ascii="Calibri" w:hAnsi="Calibri" w:cs="Calibri"/>
                <w:sz w:val="22"/>
                <w:szCs w:val="22"/>
              </w:rPr>
              <w:t>Biodynamické osvětlení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920F5" w14:textId="77777777" w:rsidR="009E4387" w:rsidRPr="009E4387" w:rsidRDefault="009E4387" w:rsidP="009E438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4387"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  <w:r w:rsidRPr="009E43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BA469FD" w14:textId="77777777" w:rsidR="009E4387" w:rsidRPr="00871794" w:rsidRDefault="009E4387" w:rsidP="00EF783E">
      <w:pPr>
        <w:autoSpaceDE w:val="0"/>
        <w:autoSpaceDN w:val="0"/>
        <w:adjustRightInd w:val="0"/>
        <w:spacing w:after="240"/>
        <w:jc w:val="center"/>
        <w:rPr>
          <w:rFonts w:ascii="Calibri" w:hAnsi="Calibri"/>
          <w:color w:val="000000"/>
          <w:szCs w:val="22"/>
        </w:rPr>
      </w:pPr>
    </w:p>
    <w:p w14:paraId="28670243" w14:textId="0EF2DC08" w:rsidR="001D6A5F" w:rsidRPr="001D6A5F" w:rsidRDefault="001D6A5F" w:rsidP="00356609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1D6A5F">
        <w:rPr>
          <w:rFonts w:ascii="Calibri" w:hAnsi="Calibri"/>
          <w:b/>
          <w:sz w:val="22"/>
          <w:szCs w:val="22"/>
        </w:rPr>
        <w:t xml:space="preserve">Podrobný popis </w:t>
      </w:r>
      <w:r w:rsidR="00B33BD5">
        <w:rPr>
          <w:rFonts w:ascii="Calibri" w:hAnsi="Calibri"/>
          <w:b/>
          <w:sz w:val="22"/>
          <w:szCs w:val="22"/>
        </w:rPr>
        <w:t>přidané</w:t>
      </w:r>
      <w:r w:rsidR="00B33BD5" w:rsidRPr="001D6A5F">
        <w:rPr>
          <w:rFonts w:ascii="Calibri" w:hAnsi="Calibri"/>
          <w:b/>
          <w:sz w:val="22"/>
          <w:szCs w:val="22"/>
        </w:rPr>
        <w:t xml:space="preserve"> </w:t>
      </w:r>
      <w:r w:rsidRPr="001D6A5F">
        <w:rPr>
          <w:rFonts w:ascii="Calibri" w:hAnsi="Calibri"/>
          <w:b/>
          <w:sz w:val="22"/>
          <w:szCs w:val="22"/>
        </w:rPr>
        <w:t>hodnot</w:t>
      </w:r>
      <w:r w:rsidR="00B33BD5">
        <w:rPr>
          <w:rFonts w:ascii="Calibri" w:hAnsi="Calibri"/>
          <w:b/>
          <w:sz w:val="22"/>
          <w:szCs w:val="22"/>
        </w:rPr>
        <w:t>y</w:t>
      </w:r>
      <w:r w:rsidRPr="001D6A5F">
        <w:rPr>
          <w:rFonts w:ascii="Calibri" w:hAnsi="Calibri"/>
          <w:b/>
          <w:sz w:val="22"/>
          <w:szCs w:val="22"/>
        </w:rPr>
        <w:t>:</w:t>
      </w:r>
    </w:p>
    <w:p w14:paraId="01F9C2C3" w14:textId="115C509B" w:rsidR="001D6A5F" w:rsidRPr="002B7182" w:rsidRDefault="007C2D64" w:rsidP="002B7182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2B7182">
        <w:rPr>
          <w:rFonts w:ascii="Calibri" w:hAnsi="Calibri"/>
          <w:sz w:val="22"/>
          <w:szCs w:val="22"/>
          <w:u w:val="single"/>
        </w:rPr>
        <w:t>Biodynamické osvětlení</w:t>
      </w:r>
      <w:r w:rsidR="001D6A5F" w:rsidRPr="002B7182">
        <w:rPr>
          <w:rFonts w:ascii="Calibri" w:hAnsi="Calibri"/>
          <w:sz w:val="22"/>
          <w:szCs w:val="22"/>
          <w:u w:val="single"/>
        </w:rPr>
        <w:t>:</w:t>
      </w:r>
    </w:p>
    <w:p w14:paraId="60EB8BE4" w14:textId="152FD00E" w:rsidR="001D6A5F" w:rsidRDefault="00A34DEB" w:rsidP="00356609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Přidaná hodnota „</w:t>
      </w:r>
      <w:r w:rsidR="007C2D64">
        <w:rPr>
          <w:rFonts w:ascii="Calibri" w:hAnsi="Calibri"/>
          <w:sz w:val="22"/>
          <w:szCs w:val="22"/>
        </w:rPr>
        <w:t>Biodynamické osvětlení</w:t>
      </w:r>
      <w:r>
        <w:rPr>
          <w:rFonts w:ascii="Calibri" w:hAnsi="Calibri"/>
          <w:sz w:val="22"/>
          <w:szCs w:val="22"/>
        </w:rPr>
        <w:t xml:space="preserve">“ spočívá </w:t>
      </w:r>
      <w:r w:rsidRPr="00764743">
        <w:rPr>
          <w:rFonts w:ascii="Calibri" w:hAnsi="Calibri"/>
          <w:b/>
          <w:sz w:val="22"/>
          <w:szCs w:val="22"/>
        </w:rPr>
        <w:t>v</w:t>
      </w:r>
      <w:r w:rsidR="00187EAB" w:rsidRPr="00764743">
        <w:rPr>
          <w:rFonts w:ascii="Calibri" w:hAnsi="Calibri"/>
          <w:b/>
          <w:sz w:val="22"/>
          <w:szCs w:val="22"/>
        </w:rPr>
        <w:t> závazku dodavatele k</w:t>
      </w:r>
      <w:r w:rsidR="00674009">
        <w:rPr>
          <w:rFonts w:ascii="Calibri" w:hAnsi="Calibri"/>
          <w:b/>
          <w:sz w:val="22"/>
          <w:szCs w:val="22"/>
        </w:rPr>
        <w:t> dodávce a montáži tzv. biodynamického osvětlení</w:t>
      </w:r>
      <w:r w:rsidR="002A348D">
        <w:rPr>
          <w:rFonts w:ascii="Calibri" w:hAnsi="Calibri"/>
          <w:sz w:val="22"/>
          <w:szCs w:val="22"/>
        </w:rPr>
        <w:t>.</w:t>
      </w:r>
      <w:r w:rsidR="00055D07">
        <w:rPr>
          <w:rFonts w:ascii="Calibri" w:hAnsi="Calibri"/>
          <w:sz w:val="22"/>
          <w:szCs w:val="22"/>
        </w:rPr>
        <w:t xml:space="preserve"> Denní osvětlení se svým spektrem </w:t>
      </w:r>
      <w:r w:rsidR="00376617">
        <w:rPr>
          <w:rFonts w:ascii="Calibri" w:hAnsi="Calibri"/>
          <w:sz w:val="22"/>
          <w:szCs w:val="22"/>
        </w:rPr>
        <w:t>bude</w:t>
      </w:r>
      <w:r w:rsidR="00055D07">
        <w:rPr>
          <w:rFonts w:ascii="Calibri" w:hAnsi="Calibri"/>
          <w:sz w:val="22"/>
          <w:szCs w:val="22"/>
        </w:rPr>
        <w:t xml:space="preserve"> co nejvíce podobat </w:t>
      </w:r>
      <w:r w:rsidR="00AC7190">
        <w:rPr>
          <w:rFonts w:ascii="Calibri" w:hAnsi="Calibri"/>
          <w:sz w:val="22"/>
          <w:szCs w:val="22"/>
        </w:rPr>
        <w:t>přirozenému slunečnímu svitu</w:t>
      </w:r>
      <w:r w:rsidR="00755BA4">
        <w:rPr>
          <w:rFonts w:ascii="Calibri" w:hAnsi="Calibri"/>
          <w:sz w:val="22"/>
          <w:szCs w:val="22"/>
        </w:rPr>
        <w:t xml:space="preserve">, večer </w:t>
      </w:r>
      <w:r w:rsidR="00376617">
        <w:rPr>
          <w:rFonts w:ascii="Calibri" w:hAnsi="Calibri"/>
          <w:sz w:val="22"/>
          <w:szCs w:val="22"/>
        </w:rPr>
        <w:t>bude</w:t>
      </w:r>
      <w:r w:rsidR="00755BA4">
        <w:rPr>
          <w:rFonts w:ascii="Calibri" w:hAnsi="Calibri"/>
          <w:sz w:val="22"/>
          <w:szCs w:val="22"/>
        </w:rPr>
        <w:t xml:space="preserve"> osvětlení postupně přecházet do teplých tónů relaxačního charakteru</w:t>
      </w:r>
      <w:r w:rsidR="00AC24E3">
        <w:rPr>
          <w:rFonts w:ascii="Calibri" w:hAnsi="Calibri"/>
          <w:sz w:val="22"/>
          <w:szCs w:val="22"/>
        </w:rPr>
        <w:t xml:space="preserve"> se</w:t>
      </w:r>
      <w:r w:rsidR="00376617">
        <w:rPr>
          <w:rFonts w:ascii="Calibri" w:hAnsi="Calibri"/>
          <w:sz w:val="22"/>
          <w:szCs w:val="22"/>
        </w:rPr>
        <w:t> </w:t>
      </w:r>
      <w:r w:rsidR="00AC24E3">
        <w:rPr>
          <w:rFonts w:ascii="Calibri" w:hAnsi="Calibri"/>
          <w:sz w:val="22"/>
          <w:szCs w:val="22"/>
        </w:rPr>
        <w:t>sníženým zastoupením budivé modré složky spektra, noční osvětlení</w:t>
      </w:r>
      <w:r w:rsidR="003E504A">
        <w:rPr>
          <w:rFonts w:ascii="Calibri" w:hAnsi="Calibri"/>
          <w:sz w:val="22"/>
          <w:szCs w:val="22"/>
        </w:rPr>
        <w:t xml:space="preserve"> pak bude zcela bez modré složky spektra.</w:t>
      </w:r>
    </w:p>
    <w:p w14:paraId="21B05A70" w14:textId="373ACA16" w:rsidR="00407ABF" w:rsidRPr="00474F0F" w:rsidRDefault="00352E3A" w:rsidP="00356609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474F0F">
        <w:rPr>
          <w:rFonts w:ascii="Calibri" w:hAnsi="Calibri"/>
          <w:sz w:val="22"/>
          <w:szCs w:val="22"/>
        </w:rPr>
        <w:t xml:space="preserve">V ložnicích klientů bude osvětlení řešeno </w:t>
      </w:r>
      <w:r w:rsidR="00407ABF" w:rsidRPr="00474F0F">
        <w:rPr>
          <w:rFonts w:ascii="Calibri" w:hAnsi="Calibri"/>
          <w:sz w:val="22"/>
          <w:szCs w:val="22"/>
        </w:rPr>
        <w:t xml:space="preserve">dvěma samostatnými </w:t>
      </w:r>
      <w:r w:rsidR="00050282" w:rsidRPr="00474F0F">
        <w:rPr>
          <w:rFonts w:ascii="Calibri" w:hAnsi="Calibri"/>
          <w:sz w:val="22"/>
          <w:szCs w:val="22"/>
        </w:rPr>
        <w:t xml:space="preserve">LED </w:t>
      </w:r>
      <w:r w:rsidR="00407ABF" w:rsidRPr="00474F0F">
        <w:rPr>
          <w:rFonts w:ascii="Calibri" w:hAnsi="Calibri"/>
          <w:sz w:val="22"/>
          <w:szCs w:val="22"/>
        </w:rPr>
        <w:t>světelnými zdroji</w:t>
      </w:r>
      <w:r w:rsidR="00050282" w:rsidRPr="00474F0F">
        <w:rPr>
          <w:rFonts w:ascii="Calibri" w:hAnsi="Calibri"/>
          <w:sz w:val="22"/>
          <w:szCs w:val="22"/>
        </w:rPr>
        <w:t>:</w:t>
      </w:r>
    </w:p>
    <w:p w14:paraId="4FDB67AA" w14:textId="42B90CEF" w:rsidR="00050282" w:rsidRDefault="00F64A3A" w:rsidP="00356609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</w:t>
      </w:r>
      <w:r w:rsidR="00050282">
        <w:rPr>
          <w:rFonts w:ascii="Calibri" w:hAnsi="Calibri"/>
          <w:sz w:val="22"/>
          <w:szCs w:val="22"/>
        </w:rPr>
        <w:t>Hlavní osvětlení pokojů</w:t>
      </w:r>
    </w:p>
    <w:p w14:paraId="62086C9E" w14:textId="7EBC649E" w:rsidR="00695D53" w:rsidRDefault="00E81DE0" w:rsidP="00E6084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370E96">
        <w:rPr>
          <w:rFonts w:ascii="Calibri" w:hAnsi="Calibri"/>
          <w:sz w:val="22"/>
          <w:szCs w:val="22"/>
        </w:rPr>
        <w:t>jednoduché centrální zavěšené svítidlo</w:t>
      </w:r>
      <w:r w:rsidR="00BC4706" w:rsidRPr="00370E96">
        <w:rPr>
          <w:rFonts w:ascii="Calibri" w:hAnsi="Calibri"/>
          <w:sz w:val="22"/>
          <w:szCs w:val="22"/>
        </w:rPr>
        <w:t xml:space="preserve"> </w:t>
      </w:r>
      <w:r w:rsidR="00FB4BB9" w:rsidRPr="00370E96">
        <w:rPr>
          <w:rFonts w:ascii="Calibri" w:hAnsi="Calibri"/>
          <w:sz w:val="22"/>
          <w:szCs w:val="22"/>
        </w:rPr>
        <w:t>osazené na elektroinstalaci v centru místnosti</w:t>
      </w:r>
    </w:p>
    <w:p w14:paraId="1C6D0AAB" w14:textId="02726F2F" w:rsidR="00C92675" w:rsidRPr="00370E96" w:rsidRDefault="00C92675" w:rsidP="00E6084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centrální svítidlo bude dvouokruhové</w:t>
      </w:r>
      <w:r w:rsidR="008F6545">
        <w:rPr>
          <w:rFonts w:ascii="Calibri" w:hAnsi="Calibri"/>
          <w:sz w:val="22"/>
          <w:szCs w:val="22"/>
        </w:rPr>
        <w:t xml:space="preserve">, oba okruhy </w:t>
      </w:r>
      <w:r w:rsidR="00AC3ABD">
        <w:rPr>
          <w:rFonts w:ascii="Calibri" w:hAnsi="Calibri"/>
          <w:sz w:val="22"/>
          <w:szCs w:val="22"/>
        </w:rPr>
        <w:t>ovladatelné nezávisle biodynamickou řídící jednotkou</w:t>
      </w:r>
      <w:r w:rsidR="00831D82">
        <w:rPr>
          <w:rFonts w:ascii="Calibri" w:hAnsi="Calibri"/>
          <w:sz w:val="22"/>
          <w:szCs w:val="22"/>
        </w:rPr>
        <w:t>, která bude okruhy plynule spínat, vypínat a prolínat oba nezávislé okruhy</w:t>
      </w:r>
    </w:p>
    <w:p w14:paraId="317AA595" w14:textId="77777777" w:rsidR="00020DC2" w:rsidRDefault="007F633E" w:rsidP="007F633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automaticky upravovaná intenzita světla v závislosti na denní době s postupnou a přirozenou změnou spektra, světelného výkonu a prostorové distribuce </w:t>
      </w:r>
      <w:r w:rsidR="00740821">
        <w:rPr>
          <w:rFonts w:ascii="Calibri" w:hAnsi="Calibri"/>
          <w:sz w:val="22"/>
          <w:szCs w:val="22"/>
        </w:rPr>
        <w:t xml:space="preserve">(plynulá změna po dobu min. 60 </w:t>
      </w:r>
      <w:r w:rsidR="00B055D8">
        <w:rPr>
          <w:rFonts w:ascii="Calibri" w:hAnsi="Calibri"/>
          <w:sz w:val="22"/>
          <w:szCs w:val="22"/>
        </w:rPr>
        <w:t xml:space="preserve">minut) </w:t>
      </w:r>
      <w:r>
        <w:rPr>
          <w:rFonts w:ascii="Calibri" w:hAnsi="Calibri"/>
          <w:sz w:val="22"/>
          <w:szCs w:val="22"/>
        </w:rPr>
        <w:t>bez přístupu uživatelů k řízení kvality a kvantity osvětlení (uživatelé mohou osvětlení pouze vypínat/zapínat)</w:t>
      </w:r>
    </w:p>
    <w:p w14:paraId="17AB1124" w14:textId="4777D39D" w:rsidR="007F633E" w:rsidRDefault="00020DC2" w:rsidP="007F633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změn</w:t>
      </w:r>
      <w:r w:rsidR="00543C1F">
        <w:rPr>
          <w:rFonts w:ascii="Calibri" w:hAnsi="Calibri"/>
          <w:sz w:val="22"/>
          <w:szCs w:val="22"/>
        </w:rPr>
        <w:t xml:space="preserve">u provádí </w:t>
      </w:r>
      <w:r w:rsidR="00D77A52">
        <w:rPr>
          <w:rFonts w:ascii="Calibri" w:hAnsi="Calibri"/>
          <w:sz w:val="22"/>
          <w:szCs w:val="22"/>
        </w:rPr>
        <w:t>předprogramovaný časový systém</w:t>
      </w:r>
      <w:r w:rsidR="00543C1F">
        <w:rPr>
          <w:rFonts w:ascii="Calibri" w:hAnsi="Calibri"/>
          <w:sz w:val="22"/>
          <w:szCs w:val="22"/>
        </w:rPr>
        <w:t xml:space="preserve"> s kalendářním </w:t>
      </w:r>
      <w:r w:rsidR="00B50A6C">
        <w:rPr>
          <w:rFonts w:ascii="Calibri" w:hAnsi="Calibri"/>
          <w:sz w:val="22"/>
          <w:szCs w:val="22"/>
        </w:rPr>
        <w:t>(jaro/léto/podzim/zima) a denním řízením</w:t>
      </w:r>
      <w:r w:rsidR="00DC34C0">
        <w:rPr>
          <w:rFonts w:ascii="Calibri" w:hAnsi="Calibri"/>
          <w:sz w:val="22"/>
          <w:szCs w:val="22"/>
        </w:rPr>
        <w:t xml:space="preserve">, úpravu </w:t>
      </w:r>
      <w:r w:rsidR="00FC5BB5">
        <w:rPr>
          <w:rFonts w:ascii="Calibri" w:hAnsi="Calibri"/>
          <w:sz w:val="22"/>
          <w:szCs w:val="22"/>
        </w:rPr>
        <w:t>řízení může</w:t>
      </w:r>
      <w:r w:rsidR="00DC34C0">
        <w:rPr>
          <w:rFonts w:ascii="Calibri" w:hAnsi="Calibri"/>
          <w:sz w:val="22"/>
          <w:szCs w:val="22"/>
        </w:rPr>
        <w:t xml:space="preserve"> provést administrátor</w:t>
      </w:r>
      <w:r w:rsidR="00F97782">
        <w:rPr>
          <w:rFonts w:ascii="Calibri" w:hAnsi="Calibri"/>
          <w:sz w:val="22"/>
          <w:szCs w:val="22"/>
        </w:rPr>
        <w:t xml:space="preserve"> (personál domova pro seniory) pomocí dodaného ovládacího zařízení/aplikace</w:t>
      </w:r>
    </w:p>
    <w:p w14:paraId="75AEF890" w14:textId="77777777" w:rsidR="00BA449A" w:rsidRPr="008C252E" w:rsidRDefault="00E35D6E" w:rsidP="00CE6CE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8C252E">
        <w:rPr>
          <w:rFonts w:ascii="Calibri" w:hAnsi="Calibri"/>
          <w:sz w:val="22"/>
          <w:szCs w:val="22"/>
          <w:u w:val="single"/>
        </w:rPr>
        <w:t xml:space="preserve">1. okruh – denní osvětlení: </w:t>
      </w:r>
    </w:p>
    <w:p w14:paraId="50334128" w14:textId="77777777" w:rsidR="009838D9" w:rsidRDefault="009838D9" w:rsidP="00BA449A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osvětlení místnosti nepřímo odrazem přes strop se zamezením blikání světla (flicker)</w:t>
      </w:r>
    </w:p>
    <w:p w14:paraId="7ABE3B43" w14:textId="18A590C9" w:rsidR="00BA449A" w:rsidRDefault="009E64C1" w:rsidP="00BA449A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vysoce výkonný </w:t>
      </w:r>
      <w:r w:rsidR="00E80E46">
        <w:rPr>
          <w:rFonts w:ascii="Calibri" w:hAnsi="Calibri"/>
          <w:sz w:val="22"/>
          <w:szCs w:val="22"/>
        </w:rPr>
        <w:t xml:space="preserve">LED </w:t>
      </w:r>
      <w:r>
        <w:rPr>
          <w:rFonts w:ascii="Calibri" w:hAnsi="Calibri"/>
          <w:sz w:val="22"/>
          <w:szCs w:val="22"/>
        </w:rPr>
        <w:t xml:space="preserve">světelný </w:t>
      </w:r>
      <w:r w:rsidR="00E80E46">
        <w:rPr>
          <w:rFonts w:ascii="Calibri" w:hAnsi="Calibri"/>
          <w:sz w:val="22"/>
          <w:szCs w:val="22"/>
        </w:rPr>
        <w:t>zdroj</w:t>
      </w:r>
      <w:r w:rsidR="0067566E">
        <w:rPr>
          <w:rFonts w:ascii="Calibri" w:hAnsi="Calibri"/>
          <w:sz w:val="22"/>
          <w:szCs w:val="22"/>
        </w:rPr>
        <w:t xml:space="preserve"> </w:t>
      </w:r>
      <w:r w:rsidR="009341FA">
        <w:rPr>
          <w:rFonts w:ascii="Calibri" w:hAnsi="Calibri"/>
          <w:sz w:val="22"/>
          <w:szCs w:val="22"/>
        </w:rPr>
        <w:t>80–100 W</w:t>
      </w:r>
      <w:r w:rsidR="00E80E46">
        <w:rPr>
          <w:rFonts w:ascii="Calibri" w:hAnsi="Calibri"/>
          <w:sz w:val="22"/>
          <w:szCs w:val="22"/>
        </w:rPr>
        <w:t xml:space="preserve"> s </w:t>
      </w:r>
      <w:r w:rsidR="00874720">
        <w:rPr>
          <w:rFonts w:ascii="Calibri" w:hAnsi="Calibri"/>
          <w:sz w:val="22"/>
          <w:szCs w:val="22"/>
        </w:rPr>
        <w:t>výkon</w:t>
      </w:r>
      <w:r>
        <w:rPr>
          <w:rFonts w:ascii="Calibri" w:hAnsi="Calibri"/>
          <w:sz w:val="22"/>
          <w:szCs w:val="22"/>
        </w:rPr>
        <w:t>em</w:t>
      </w:r>
      <w:r w:rsidR="00BA449A" w:rsidRPr="00BA449A">
        <w:rPr>
          <w:rFonts w:ascii="Calibri" w:hAnsi="Calibri"/>
          <w:sz w:val="22"/>
          <w:szCs w:val="22"/>
        </w:rPr>
        <w:t xml:space="preserve"> </w:t>
      </w:r>
      <w:r w:rsidR="00E80E46">
        <w:rPr>
          <w:rFonts w:ascii="Calibri" w:hAnsi="Calibri"/>
          <w:sz w:val="22"/>
          <w:szCs w:val="22"/>
        </w:rPr>
        <w:t>min. 100 lm/W</w:t>
      </w:r>
    </w:p>
    <w:p w14:paraId="36E361AA" w14:textId="77777777" w:rsidR="00B57DEF" w:rsidRDefault="00757FBC" w:rsidP="00BA449A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teplota chromatičnosti</w:t>
      </w:r>
      <w:r w:rsidR="00C90817">
        <w:rPr>
          <w:rFonts w:ascii="Calibri" w:hAnsi="Calibri"/>
          <w:sz w:val="22"/>
          <w:szCs w:val="22"/>
        </w:rPr>
        <w:t xml:space="preserve"> 4</w:t>
      </w:r>
      <w:r w:rsidR="004C7ADF">
        <w:rPr>
          <w:rFonts w:ascii="Calibri" w:hAnsi="Calibri"/>
          <w:sz w:val="22"/>
          <w:szCs w:val="22"/>
        </w:rPr>
        <w:t>0</w:t>
      </w:r>
      <w:r w:rsidR="00C90817">
        <w:rPr>
          <w:rFonts w:ascii="Calibri" w:hAnsi="Calibri"/>
          <w:sz w:val="22"/>
          <w:szCs w:val="22"/>
        </w:rPr>
        <w:t>00–5000 K</w:t>
      </w:r>
    </w:p>
    <w:p w14:paraId="7DDFC8FA" w14:textId="77777777" w:rsidR="00B84C95" w:rsidRDefault="005E5D0F" w:rsidP="00BA449A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 spektru </w:t>
      </w:r>
      <w:r w:rsidR="007D0C33">
        <w:rPr>
          <w:rFonts w:ascii="Calibri" w:hAnsi="Calibri"/>
          <w:sz w:val="22"/>
          <w:szCs w:val="22"/>
        </w:rPr>
        <w:t>rovnoměrné zastoupení</w:t>
      </w:r>
      <w:r>
        <w:rPr>
          <w:rFonts w:ascii="Calibri" w:hAnsi="Calibri"/>
          <w:sz w:val="22"/>
          <w:szCs w:val="22"/>
        </w:rPr>
        <w:t xml:space="preserve"> všech</w:t>
      </w:r>
      <w:r w:rsidR="003E4547">
        <w:rPr>
          <w:rFonts w:ascii="Calibri" w:hAnsi="Calibri"/>
          <w:sz w:val="22"/>
          <w:szCs w:val="22"/>
        </w:rPr>
        <w:t xml:space="preserve"> vlnových délek v centrálním pásmu 450–650 nm</w:t>
      </w:r>
      <w:r w:rsidR="009909FB">
        <w:rPr>
          <w:rFonts w:ascii="Calibri" w:hAnsi="Calibri"/>
          <w:sz w:val="22"/>
          <w:szCs w:val="22"/>
        </w:rPr>
        <w:t xml:space="preserve"> s maximální odchylkou </w:t>
      </w:r>
      <w:r w:rsidR="009909FB" w:rsidRPr="009909FB">
        <w:rPr>
          <w:rFonts w:ascii="Calibri" w:hAnsi="Calibri"/>
          <w:sz w:val="22"/>
          <w:szCs w:val="22"/>
        </w:rPr>
        <w:t>± 1</w:t>
      </w:r>
      <w:r w:rsidR="009909FB">
        <w:rPr>
          <w:rFonts w:ascii="Calibri" w:hAnsi="Calibri"/>
          <w:sz w:val="22"/>
          <w:szCs w:val="22"/>
        </w:rPr>
        <w:t>5</w:t>
      </w:r>
      <w:r w:rsidR="009909FB" w:rsidRPr="009909FB">
        <w:rPr>
          <w:rFonts w:ascii="Calibri" w:hAnsi="Calibri"/>
          <w:sz w:val="22"/>
          <w:szCs w:val="22"/>
        </w:rPr>
        <w:t xml:space="preserve"> %</w:t>
      </w:r>
      <w:r w:rsidR="00D00FFC">
        <w:rPr>
          <w:rFonts w:ascii="Calibri" w:hAnsi="Calibri"/>
          <w:sz w:val="22"/>
          <w:szCs w:val="22"/>
        </w:rPr>
        <w:t xml:space="preserve"> (plnospektrální zdroj světla)</w:t>
      </w:r>
      <w:r w:rsidR="00712518">
        <w:rPr>
          <w:rFonts w:ascii="Calibri" w:hAnsi="Calibri"/>
          <w:sz w:val="22"/>
          <w:szCs w:val="22"/>
        </w:rPr>
        <w:t xml:space="preserve"> s posílením spektra </w:t>
      </w:r>
      <w:r w:rsidR="001301C6">
        <w:rPr>
          <w:rFonts w:ascii="Calibri" w:hAnsi="Calibri"/>
          <w:sz w:val="22"/>
          <w:szCs w:val="22"/>
        </w:rPr>
        <w:t xml:space="preserve">v pásmu biologicky aktivizujících modrých a azurových vlnových délek </w:t>
      </w:r>
      <w:r w:rsidR="00E04443">
        <w:rPr>
          <w:rFonts w:ascii="Calibri" w:hAnsi="Calibri"/>
          <w:sz w:val="22"/>
          <w:szCs w:val="22"/>
        </w:rPr>
        <w:t xml:space="preserve">v pásmu </w:t>
      </w:r>
      <w:r w:rsidR="001301C6">
        <w:rPr>
          <w:rFonts w:ascii="Calibri" w:hAnsi="Calibri"/>
          <w:sz w:val="22"/>
          <w:szCs w:val="22"/>
        </w:rPr>
        <w:t>450–500 nm</w:t>
      </w:r>
      <w:r w:rsidR="00E04443">
        <w:rPr>
          <w:rFonts w:ascii="Calibri" w:hAnsi="Calibri"/>
          <w:sz w:val="22"/>
          <w:szCs w:val="22"/>
        </w:rPr>
        <w:t xml:space="preserve"> (pro-kognitivní </w:t>
      </w:r>
      <w:r w:rsidR="0029042B">
        <w:rPr>
          <w:rFonts w:ascii="Calibri" w:hAnsi="Calibri"/>
          <w:sz w:val="22"/>
          <w:szCs w:val="22"/>
        </w:rPr>
        <w:t>světelný zdroj)</w:t>
      </w:r>
    </w:p>
    <w:p w14:paraId="77F1E80A" w14:textId="67466C94" w:rsidR="00757FBC" w:rsidRDefault="00002C3B" w:rsidP="00BA449A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velmi vysok</w:t>
      </w:r>
      <w:r w:rsidR="00B84C95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 </w:t>
      </w:r>
      <w:r w:rsidR="00C01713">
        <w:rPr>
          <w:rFonts w:ascii="Calibri" w:hAnsi="Calibri"/>
          <w:sz w:val="22"/>
          <w:szCs w:val="22"/>
        </w:rPr>
        <w:t>kvalit</w:t>
      </w:r>
      <w:r w:rsidR="00B84C95">
        <w:rPr>
          <w:rFonts w:ascii="Calibri" w:hAnsi="Calibri"/>
          <w:sz w:val="22"/>
          <w:szCs w:val="22"/>
        </w:rPr>
        <w:t>a</w:t>
      </w:r>
      <w:r w:rsidR="00C01713">
        <w:rPr>
          <w:rFonts w:ascii="Calibri" w:hAnsi="Calibri"/>
          <w:sz w:val="22"/>
          <w:szCs w:val="22"/>
        </w:rPr>
        <w:t xml:space="preserve"> podání barev </w:t>
      </w:r>
      <w:r w:rsidR="0048381D">
        <w:rPr>
          <w:rFonts w:ascii="Calibri" w:hAnsi="Calibri"/>
          <w:sz w:val="22"/>
          <w:szCs w:val="22"/>
        </w:rPr>
        <w:t>CRI</w:t>
      </w:r>
      <w:r w:rsidR="001873B6">
        <w:rPr>
          <w:rFonts w:ascii="Calibri" w:hAnsi="Calibri"/>
          <w:sz w:val="22"/>
          <w:szCs w:val="22"/>
        </w:rPr>
        <w:t xml:space="preserve"> &gt; 90</w:t>
      </w:r>
    </w:p>
    <w:p w14:paraId="0A47B548" w14:textId="77777777" w:rsidR="005E0CCF" w:rsidRPr="008C252E" w:rsidRDefault="005E0CCF" w:rsidP="00CE6CE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8C252E">
        <w:rPr>
          <w:rFonts w:ascii="Calibri" w:hAnsi="Calibri"/>
          <w:sz w:val="22"/>
          <w:szCs w:val="22"/>
          <w:u w:val="single"/>
        </w:rPr>
        <w:t>2. okruh – večerní osvětlení:</w:t>
      </w:r>
    </w:p>
    <w:p w14:paraId="6F7150D5" w14:textId="18868E2E" w:rsidR="00DD0D84" w:rsidRDefault="00DD0D84" w:rsidP="005E0CCF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osvětlení místnosti</w:t>
      </w:r>
      <w:r w:rsidR="008C252E">
        <w:rPr>
          <w:rFonts w:ascii="Calibri" w:hAnsi="Calibri"/>
          <w:sz w:val="22"/>
          <w:szCs w:val="22"/>
        </w:rPr>
        <w:t xml:space="preserve"> směrem dolů přes opálový difuzor</w:t>
      </w:r>
      <w:r w:rsidR="002D16D5">
        <w:rPr>
          <w:rFonts w:ascii="Calibri" w:hAnsi="Calibri"/>
          <w:sz w:val="22"/>
          <w:szCs w:val="22"/>
        </w:rPr>
        <w:t xml:space="preserve"> s plynulou regulací světelného výkonu</w:t>
      </w:r>
      <w:r w:rsidR="008C5F2D">
        <w:rPr>
          <w:rFonts w:ascii="Calibri" w:hAnsi="Calibri"/>
          <w:sz w:val="22"/>
          <w:szCs w:val="22"/>
        </w:rPr>
        <w:t>, aby vznikly přirozené světelné podmínky</w:t>
      </w:r>
      <w:r w:rsidR="00340B0B">
        <w:rPr>
          <w:rFonts w:ascii="Calibri" w:hAnsi="Calibri"/>
          <w:sz w:val="22"/>
          <w:szCs w:val="22"/>
        </w:rPr>
        <w:t>, se zamezením blikání světla (flicker)</w:t>
      </w:r>
    </w:p>
    <w:p w14:paraId="3DD193BB" w14:textId="0786929C" w:rsidR="00C76D52" w:rsidRDefault="00C76D52" w:rsidP="005E0CCF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teple bílý LED světelný zdroj 30–50 W</w:t>
      </w:r>
      <w:r w:rsidR="0015477D">
        <w:rPr>
          <w:rFonts w:ascii="Calibri" w:hAnsi="Calibri"/>
          <w:sz w:val="22"/>
          <w:szCs w:val="22"/>
        </w:rPr>
        <w:t xml:space="preserve"> s výkonem min. 100 lm/W</w:t>
      </w:r>
    </w:p>
    <w:p w14:paraId="065BC8E4" w14:textId="77777777" w:rsidR="0015477D" w:rsidRDefault="005A6EC6" w:rsidP="005E0CCF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teplota chromatičnosti </w:t>
      </w:r>
      <w:r w:rsidR="00507802">
        <w:rPr>
          <w:rFonts w:ascii="Calibri" w:hAnsi="Calibri"/>
          <w:sz w:val="22"/>
          <w:szCs w:val="22"/>
        </w:rPr>
        <w:t>2200–3000 K</w:t>
      </w:r>
    </w:p>
    <w:p w14:paraId="04F6D212" w14:textId="616BA1EC" w:rsidR="000C34C6" w:rsidRDefault="000050FB" w:rsidP="005E0CCF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 spektru nižší zastoupením krátkých vlnových délek</w:t>
      </w:r>
      <w:r w:rsidR="0038589E">
        <w:rPr>
          <w:rFonts w:ascii="Calibri" w:hAnsi="Calibri"/>
          <w:sz w:val="22"/>
          <w:szCs w:val="22"/>
        </w:rPr>
        <w:t xml:space="preserve"> a vyšší zastoupení tzv. červeného světla</w:t>
      </w:r>
    </w:p>
    <w:p w14:paraId="5164476C" w14:textId="13F617D4" w:rsidR="00CA5882" w:rsidRDefault="00C01713" w:rsidP="005E0CCF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velmi vysok</w:t>
      </w:r>
      <w:r w:rsidR="000C34C6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 kvalit</w:t>
      </w:r>
      <w:r w:rsidR="000C34C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podání barev </w:t>
      </w:r>
      <w:r w:rsidR="000C34C6">
        <w:rPr>
          <w:rFonts w:ascii="Calibri" w:hAnsi="Calibri"/>
          <w:sz w:val="22"/>
          <w:szCs w:val="22"/>
        </w:rPr>
        <w:t>CRI</w:t>
      </w:r>
      <w:r>
        <w:rPr>
          <w:rFonts w:ascii="Calibri" w:hAnsi="Calibri"/>
          <w:sz w:val="22"/>
          <w:szCs w:val="22"/>
        </w:rPr>
        <w:t xml:space="preserve"> &gt; 90</w:t>
      </w:r>
    </w:p>
    <w:p w14:paraId="20974F43" w14:textId="373E05A7" w:rsidR="00DC4495" w:rsidRPr="00F64A3A" w:rsidRDefault="00F64A3A" w:rsidP="00DC4495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</w:t>
      </w:r>
      <w:r w:rsidR="006F5EB3" w:rsidRPr="00F64A3A">
        <w:rPr>
          <w:rFonts w:ascii="Calibri" w:hAnsi="Calibri"/>
          <w:sz w:val="22"/>
          <w:szCs w:val="22"/>
        </w:rPr>
        <w:t>Noční orientační osvětlení</w:t>
      </w:r>
    </w:p>
    <w:p w14:paraId="21ECF23B" w14:textId="1FF77D38" w:rsidR="0070450B" w:rsidRDefault="001B4520" w:rsidP="00CE6CE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automaticky spínané </w:t>
      </w:r>
      <w:r w:rsidR="0070450B">
        <w:rPr>
          <w:rFonts w:ascii="Calibri" w:hAnsi="Calibri"/>
          <w:sz w:val="22"/>
          <w:szCs w:val="22"/>
        </w:rPr>
        <w:t>noční orientační osvětlení</w:t>
      </w:r>
      <w:r>
        <w:rPr>
          <w:rFonts w:ascii="Calibri" w:hAnsi="Calibri"/>
          <w:sz w:val="22"/>
          <w:szCs w:val="22"/>
        </w:rPr>
        <w:t xml:space="preserve"> s</w:t>
      </w:r>
      <w:r w:rsidR="001A2FCB">
        <w:rPr>
          <w:rFonts w:ascii="Calibri" w:hAnsi="Calibri"/>
          <w:sz w:val="22"/>
          <w:szCs w:val="22"/>
        </w:rPr>
        <w:t xml:space="preserve"> tlumenou </w:t>
      </w:r>
      <w:r>
        <w:rPr>
          <w:rFonts w:ascii="Calibri" w:hAnsi="Calibri"/>
          <w:sz w:val="22"/>
          <w:szCs w:val="22"/>
        </w:rPr>
        <w:t>jantarovou barvou a průměrnou osvětleností v jednotkách luxů</w:t>
      </w:r>
      <w:r w:rsidR="001A2FCB">
        <w:rPr>
          <w:rFonts w:ascii="Calibri" w:hAnsi="Calibri"/>
          <w:sz w:val="22"/>
          <w:szCs w:val="22"/>
        </w:rPr>
        <w:t xml:space="preserve">, </w:t>
      </w:r>
      <w:r w:rsidR="005E66C3">
        <w:rPr>
          <w:rFonts w:ascii="Calibri" w:hAnsi="Calibri"/>
          <w:sz w:val="22"/>
          <w:szCs w:val="22"/>
        </w:rPr>
        <w:t xml:space="preserve">světelný zdroj </w:t>
      </w:r>
      <w:r w:rsidR="0070591A">
        <w:rPr>
          <w:rFonts w:ascii="Calibri" w:hAnsi="Calibri"/>
          <w:sz w:val="22"/>
          <w:szCs w:val="22"/>
        </w:rPr>
        <w:t>s rovnoměrnou distribucí</w:t>
      </w:r>
      <w:r w:rsidR="001B58C4">
        <w:rPr>
          <w:rFonts w:ascii="Calibri" w:hAnsi="Calibri"/>
          <w:sz w:val="22"/>
          <w:szCs w:val="22"/>
        </w:rPr>
        <w:t xml:space="preserve">, zcela bez krátkých </w:t>
      </w:r>
      <w:r w:rsidR="001B58C4">
        <w:rPr>
          <w:rFonts w:ascii="Calibri" w:hAnsi="Calibri"/>
          <w:sz w:val="22"/>
          <w:szCs w:val="22"/>
        </w:rPr>
        <w:lastRenderedPageBreak/>
        <w:t xml:space="preserve">vlnových délek </w:t>
      </w:r>
      <w:r w:rsidR="00F45355">
        <w:rPr>
          <w:rFonts w:ascii="Calibri" w:hAnsi="Calibri"/>
          <w:sz w:val="22"/>
          <w:szCs w:val="22"/>
        </w:rPr>
        <w:t>(tzv. modré světlo)</w:t>
      </w:r>
      <w:r w:rsidR="00CB0AEC">
        <w:rPr>
          <w:rFonts w:ascii="Calibri" w:hAnsi="Calibri"/>
          <w:sz w:val="22"/>
          <w:szCs w:val="22"/>
        </w:rPr>
        <w:t xml:space="preserve"> s teplotou chromatičnosti </w:t>
      </w:r>
      <w:r w:rsidR="00B10E3F">
        <w:rPr>
          <w:rFonts w:ascii="Calibri" w:hAnsi="Calibri"/>
          <w:sz w:val="22"/>
          <w:szCs w:val="22"/>
        </w:rPr>
        <w:t>1600–2000 K</w:t>
      </w:r>
      <w:r w:rsidR="00F8643A">
        <w:rPr>
          <w:rFonts w:ascii="Calibri" w:hAnsi="Calibri"/>
          <w:sz w:val="22"/>
          <w:szCs w:val="22"/>
        </w:rPr>
        <w:t xml:space="preserve"> a s indexem podání barev </w:t>
      </w:r>
      <w:r w:rsidR="002C7C67">
        <w:rPr>
          <w:rFonts w:ascii="Calibri" w:hAnsi="Calibri"/>
          <w:sz w:val="22"/>
          <w:szCs w:val="22"/>
        </w:rPr>
        <w:t>CRI 30–50</w:t>
      </w:r>
      <w:r w:rsidR="00F35B09">
        <w:rPr>
          <w:rFonts w:ascii="Calibri" w:hAnsi="Calibri"/>
          <w:sz w:val="22"/>
          <w:szCs w:val="22"/>
        </w:rPr>
        <w:t xml:space="preserve">, široké </w:t>
      </w:r>
      <w:r w:rsidR="007C14FA">
        <w:rPr>
          <w:rFonts w:ascii="Calibri" w:hAnsi="Calibri"/>
          <w:sz w:val="22"/>
          <w:szCs w:val="22"/>
        </w:rPr>
        <w:t>spektrum světla (tzv. PC amber</w:t>
      </w:r>
      <w:r w:rsidR="000F35FD">
        <w:rPr>
          <w:rFonts w:ascii="Calibri" w:hAnsi="Calibri"/>
          <w:sz w:val="22"/>
          <w:szCs w:val="22"/>
        </w:rPr>
        <w:t xml:space="preserve"> nebo rovnocenné řešení</w:t>
      </w:r>
      <w:r w:rsidR="007C14FA">
        <w:rPr>
          <w:rFonts w:ascii="Calibri" w:hAnsi="Calibri"/>
          <w:sz w:val="22"/>
          <w:szCs w:val="22"/>
        </w:rPr>
        <w:t>)</w:t>
      </w:r>
    </w:p>
    <w:p w14:paraId="0C6FCE0D" w14:textId="055F8C3B" w:rsidR="00513CE3" w:rsidRPr="00857198" w:rsidRDefault="008B2275" w:rsidP="0085719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automatické spínání řízené pohybovým čidlem</w:t>
      </w:r>
      <w:r w:rsidR="00A27AC4">
        <w:rPr>
          <w:rFonts w:ascii="Calibri" w:hAnsi="Calibri"/>
          <w:sz w:val="22"/>
          <w:szCs w:val="22"/>
        </w:rPr>
        <w:t xml:space="preserve"> tak, aby zachytil pohyb kolem lůžka nebo příchod ošetřujícího personálu do místnosti</w:t>
      </w:r>
      <w:r w:rsidR="00340B0B">
        <w:rPr>
          <w:rFonts w:ascii="Calibri" w:hAnsi="Calibri"/>
          <w:sz w:val="22"/>
          <w:szCs w:val="22"/>
        </w:rPr>
        <w:t>, se zamezením blikání světla (flicker)</w:t>
      </w:r>
    </w:p>
    <w:p w14:paraId="72B12B61" w14:textId="5CDEC7FA" w:rsidR="00C2270C" w:rsidRDefault="00857198" w:rsidP="00CE6CE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osvětlení </w:t>
      </w:r>
      <w:r w:rsidR="00C2270C">
        <w:rPr>
          <w:rFonts w:ascii="Calibri" w:hAnsi="Calibri"/>
          <w:sz w:val="22"/>
          <w:szCs w:val="22"/>
        </w:rPr>
        <w:t>umístěn</w:t>
      </w:r>
      <w:r w:rsidR="00A31331">
        <w:rPr>
          <w:rFonts w:ascii="Calibri" w:hAnsi="Calibri"/>
          <w:sz w:val="22"/>
          <w:szCs w:val="22"/>
        </w:rPr>
        <w:t>o</w:t>
      </w:r>
      <w:r w:rsidR="00C2270C">
        <w:rPr>
          <w:rFonts w:ascii="Calibri" w:hAnsi="Calibri"/>
          <w:sz w:val="22"/>
          <w:szCs w:val="22"/>
        </w:rPr>
        <w:t xml:space="preserve"> </w:t>
      </w:r>
      <w:r w:rsidR="00915792">
        <w:rPr>
          <w:rFonts w:ascii="Calibri" w:hAnsi="Calibri"/>
          <w:sz w:val="22"/>
          <w:szCs w:val="22"/>
        </w:rPr>
        <w:t xml:space="preserve">jednak </w:t>
      </w:r>
      <w:r w:rsidR="00C2270C">
        <w:rPr>
          <w:rFonts w:ascii="Calibri" w:hAnsi="Calibri"/>
          <w:sz w:val="22"/>
          <w:szCs w:val="22"/>
        </w:rPr>
        <w:t>ve světelné liště pod postelí</w:t>
      </w:r>
      <w:r w:rsidR="00AF1A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(spínané pohybovým čidlem umístěným u podlahy</w:t>
      </w:r>
      <w:r w:rsidR="00702427">
        <w:rPr>
          <w:rFonts w:ascii="Calibri" w:hAnsi="Calibri"/>
          <w:sz w:val="22"/>
          <w:szCs w:val="22"/>
        </w:rPr>
        <w:t>) a</w:t>
      </w:r>
      <w:r w:rsidR="00AF1A06">
        <w:rPr>
          <w:rFonts w:ascii="Calibri" w:hAnsi="Calibri"/>
          <w:sz w:val="22"/>
          <w:szCs w:val="22"/>
        </w:rPr>
        <w:t xml:space="preserve"> </w:t>
      </w:r>
      <w:r w:rsidR="00915792">
        <w:rPr>
          <w:rFonts w:ascii="Calibri" w:hAnsi="Calibri"/>
          <w:sz w:val="22"/>
          <w:szCs w:val="22"/>
        </w:rPr>
        <w:t xml:space="preserve">také </w:t>
      </w:r>
      <w:r w:rsidR="00AF1A06">
        <w:rPr>
          <w:rFonts w:ascii="Calibri" w:hAnsi="Calibri"/>
          <w:sz w:val="22"/>
          <w:szCs w:val="22"/>
        </w:rPr>
        <w:t>v nízko položené vertikální liště u dveří</w:t>
      </w:r>
      <w:r w:rsidR="00702427">
        <w:rPr>
          <w:rFonts w:ascii="Calibri" w:hAnsi="Calibri"/>
          <w:sz w:val="22"/>
          <w:szCs w:val="22"/>
        </w:rPr>
        <w:t xml:space="preserve"> (spínané pohybovým čidlem umístěným u stropu)</w:t>
      </w:r>
    </w:p>
    <w:p w14:paraId="2EEA066A" w14:textId="77777777" w:rsidR="008B6ACC" w:rsidRDefault="00A377AB" w:rsidP="00CE6CE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osvětlení </w:t>
      </w:r>
      <w:r w:rsidR="00BB62D6">
        <w:rPr>
          <w:rFonts w:ascii="Calibri" w:hAnsi="Calibri"/>
          <w:sz w:val="22"/>
          <w:szCs w:val="22"/>
        </w:rPr>
        <w:t>s</w:t>
      </w:r>
      <w:r w:rsidR="001C14B0">
        <w:rPr>
          <w:rFonts w:ascii="Calibri" w:hAnsi="Calibri"/>
          <w:sz w:val="22"/>
          <w:szCs w:val="22"/>
        </w:rPr>
        <w:t> </w:t>
      </w:r>
      <w:r w:rsidR="00BB62D6">
        <w:rPr>
          <w:rFonts w:ascii="Calibri" w:hAnsi="Calibri"/>
          <w:sz w:val="22"/>
          <w:szCs w:val="22"/>
        </w:rPr>
        <w:t>plynulým</w:t>
      </w:r>
      <w:r w:rsidR="001C14B0">
        <w:rPr>
          <w:rFonts w:ascii="Calibri" w:hAnsi="Calibri"/>
          <w:sz w:val="22"/>
          <w:szCs w:val="22"/>
        </w:rPr>
        <w:t xml:space="preserve"> postupným</w:t>
      </w:r>
      <w:r w:rsidR="00BB62D6">
        <w:rPr>
          <w:rFonts w:ascii="Calibri" w:hAnsi="Calibri"/>
          <w:sz w:val="22"/>
          <w:szCs w:val="22"/>
        </w:rPr>
        <w:t xml:space="preserve"> rozsvěcením</w:t>
      </w:r>
      <w:r w:rsidR="00C5593B">
        <w:rPr>
          <w:rFonts w:ascii="Calibri" w:hAnsi="Calibri"/>
          <w:sz w:val="22"/>
          <w:szCs w:val="22"/>
        </w:rPr>
        <w:t xml:space="preserve"> </w:t>
      </w:r>
      <w:r w:rsidR="00C61426">
        <w:rPr>
          <w:rFonts w:ascii="Calibri" w:hAnsi="Calibri"/>
          <w:sz w:val="22"/>
          <w:szCs w:val="22"/>
        </w:rPr>
        <w:t>(v délce cca 1 vteřiny)</w:t>
      </w:r>
      <w:r w:rsidR="00BB62D6">
        <w:rPr>
          <w:rFonts w:ascii="Calibri" w:hAnsi="Calibri"/>
          <w:sz w:val="22"/>
          <w:szCs w:val="22"/>
        </w:rPr>
        <w:t xml:space="preserve"> i zhasínám (</w:t>
      </w:r>
      <w:r>
        <w:rPr>
          <w:rFonts w:ascii="Calibri" w:hAnsi="Calibri"/>
          <w:sz w:val="22"/>
          <w:szCs w:val="22"/>
        </w:rPr>
        <w:t>postupným stmíváním</w:t>
      </w:r>
      <w:r w:rsidR="00BE4AAC">
        <w:rPr>
          <w:rFonts w:ascii="Calibri" w:hAnsi="Calibri"/>
          <w:sz w:val="22"/>
          <w:szCs w:val="22"/>
        </w:rPr>
        <w:t xml:space="preserve"> </w:t>
      </w:r>
      <w:r w:rsidR="00C5593B">
        <w:rPr>
          <w:rFonts w:ascii="Calibri" w:hAnsi="Calibri"/>
          <w:sz w:val="22"/>
          <w:szCs w:val="22"/>
        </w:rPr>
        <w:t>v délce</w:t>
      </w:r>
      <w:r w:rsidR="00BE4AAC">
        <w:rPr>
          <w:rFonts w:ascii="Calibri" w:hAnsi="Calibri"/>
          <w:sz w:val="22"/>
          <w:szCs w:val="22"/>
        </w:rPr>
        <w:t xml:space="preserve"> </w:t>
      </w:r>
      <w:r w:rsidR="00C5593B">
        <w:rPr>
          <w:rFonts w:ascii="Calibri" w:hAnsi="Calibri"/>
          <w:sz w:val="22"/>
          <w:szCs w:val="22"/>
        </w:rPr>
        <w:t>30–120</w:t>
      </w:r>
      <w:r w:rsidR="00BE4AAC">
        <w:rPr>
          <w:rFonts w:ascii="Calibri" w:hAnsi="Calibri"/>
          <w:sz w:val="22"/>
          <w:szCs w:val="22"/>
        </w:rPr>
        <w:t xml:space="preserve"> vteřin v případě, že pohybové čidlo </w:t>
      </w:r>
      <w:r w:rsidR="007F3101">
        <w:rPr>
          <w:rFonts w:ascii="Calibri" w:hAnsi="Calibri"/>
          <w:sz w:val="22"/>
          <w:szCs w:val="22"/>
        </w:rPr>
        <w:t xml:space="preserve">po dobu </w:t>
      </w:r>
      <w:r w:rsidR="00C5593B">
        <w:rPr>
          <w:rFonts w:ascii="Calibri" w:hAnsi="Calibri"/>
          <w:sz w:val="22"/>
          <w:szCs w:val="22"/>
        </w:rPr>
        <w:t>120</w:t>
      </w:r>
      <w:r w:rsidR="007F3101">
        <w:rPr>
          <w:rFonts w:ascii="Calibri" w:hAnsi="Calibri"/>
          <w:sz w:val="22"/>
          <w:szCs w:val="22"/>
        </w:rPr>
        <w:t xml:space="preserve"> vteřin nezaznamená žádný pohyb</w:t>
      </w:r>
      <w:r w:rsidR="001C14B0">
        <w:rPr>
          <w:rFonts w:ascii="Calibri" w:hAnsi="Calibri"/>
          <w:sz w:val="22"/>
          <w:szCs w:val="22"/>
        </w:rPr>
        <w:t>)</w:t>
      </w:r>
    </w:p>
    <w:p w14:paraId="6B29BEAC" w14:textId="7C6AF947" w:rsidR="00A377AB" w:rsidRDefault="005C0F36" w:rsidP="00CE6CE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pohybová čidla s plně tichým chodem</w:t>
      </w:r>
    </w:p>
    <w:p w14:paraId="51EA43AE" w14:textId="0045C75A" w:rsidR="00F35850" w:rsidRPr="00474F0F" w:rsidRDefault="00F35850" w:rsidP="00F35850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474F0F">
        <w:rPr>
          <w:rFonts w:ascii="Calibri" w:hAnsi="Calibri"/>
          <w:sz w:val="22"/>
          <w:szCs w:val="22"/>
        </w:rPr>
        <w:t xml:space="preserve">V koupelnách </w:t>
      </w:r>
      <w:r w:rsidR="00152DC6" w:rsidRPr="00474F0F">
        <w:rPr>
          <w:rFonts w:ascii="Calibri" w:hAnsi="Calibri"/>
          <w:sz w:val="22"/>
          <w:szCs w:val="22"/>
        </w:rPr>
        <w:t>a na WC</w:t>
      </w:r>
      <w:r w:rsidR="00BF74E0" w:rsidRPr="00474F0F">
        <w:rPr>
          <w:rFonts w:ascii="Calibri" w:hAnsi="Calibri"/>
          <w:sz w:val="22"/>
          <w:szCs w:val="22"/>
        </w:rPr>
        <w:t xml:space="preserve"> bude osvětlení řešeno dvěma samostatnými LED světelnými zdroji:</w:t>
      </w:r>
    </w:p>
    <w:p w14:paraId="0FFD78C7" w14:textId="32992DF9" w:rsidR="00BF74E0" w:rsidRDefault="00BF74E0" w:rsidP="00F35850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</w:t>
      </w:r>
      <w:r w:rsidR="00BF3731">
        <w:rPr>
          <w:rFonts w:ascii="Calibri" w:hAnsi="Calibri"/>
          <w:sz w:val="22"/>
          <w:szCs w:val="22"/>
        </w:rPr>
        <w:t>Denní bíl</w:t>
      </w:r>
      <w:r w:rsidR="00096229">
        <w:rPr>
          <w:rFonts w:ascii="Calibri" w:hAnsi="Calibri"/>
          <w:sz w:val="22"/>
          <w:szCs w:val="22"/>
        </w:rPr>
        <w:t>ý zdroj</w:t>
      </w:r>
    </w:p>
    <w:p w14:paraId="5BBE423E" w14:textId="28E26F38" w:rsidR="00F05009" w:rsidRDefault="00816D7D" w:rsidP="00F0500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nástěnné svítidlo nad </w:t>
      </w:r>
      <w:r w:rsidR="0081103C">
        <w:rPr>
          <w:rFonts w:ascii="Calibri" w:hAnsi="Calibri"/>
          <w:sz w:val="22"/>
          <w:szCs w:val="22"/>
        </w:rPr>
        <w:t>prostorem pro zrcadlo</w:t>
      </w:r>
      <w:r w:rsidR="000D1291">
        <w:rPr>
          <w:rFonts w:ascii="Calibri" w:hAnsi="Calibri"/>
          <w:sz w:val="22"/>
          <w:szCs w:val="22"/>
        </w:rPr>
        <w:t xml:space="preserve">, které nesvítí </w:t>
      </w:r>
      <w:r w:rsidR="00831BF9">
        <w:rPr>
          <w:rFonts w:ascii="Calibri" w:hAnsi="Calibri"/>
          <w:sz w:val="22"/>
          <w:szCs w:val="22"/>
        </w:rPr>
        <w:t>přímo vpřed, ale dolů</w:t>
      </w:r>
      <w:r w:rsidR="00FB09AE">
        <w:rPr>
          <w:rFonts w:ascii="Calibri" w:hAnsi="Calibri"/>
          <w:sz w:val="22"/>
          <w:szCs w:val="22"/>
        </w:rPr>
        <w:t xml:space="preserve"> k</w:t>
      </w:r>
      <w:r w:rsidR="0081103C">
        <w:rPr>
          <w:rFonts w:ascii="Calibri" w:hAnsi="Calibri"/>
          <w:sz w:val="22"/>
          <w:szCs w:val="22"/>
        </w:rPr>
        <w:t> prostoru pro</w:t>
      </w:r>
      <w:r w:rsidR="0000389A">
        <w:rPr>
          <w:rFonts w:ascii="Calibri" w:hAnsi="Calibri"/>
          <w:sz w:val="22"/>
          <w:szCs w:val="22"/>
        </w:rPr>
        <w:t> </w:t>
      </w:r>
      <w:r w:rsidR="00FB09AE">
        <w:rPr>
          <w:rFonts w:ascii="Calibri" w:hAnsi="Calibri"/>
          <w:sz w:val="22"/>
          <w:szCs w:val="22"/>
        </w:rPr>
        <w:t>zrcadl</w:t>
      </w:r>
      <w:r w:rsidR="0081103C">
        <w:rPr>
          <w:rFonts w:ascii="Calibri" w:hAnsi="Calibri"/>
          <w:sz w:val="22"/>
          <w:szCs w:val="22"/>
        </w:rPr>
        <w:t>o</w:t>
      </w:r>
      <w:r w:rsidR="00FB09AE">
        <w:rPr>
          <w:rFonts w:ascii="Calibri" w:hAnsi="Calibri"/>
          <w:sz w:val="22"/>
          <w:szCs w:val="22"/>
        </w:rPr>
        <w:t xml:space="preserve"> a případně i</w:t>
      </w:r>
      <w:r w:rsidR="00B16CAB">
        <w:rPr>
          <w:rFonts w:ascii="Calibri" w:hAnsi="Calibri"/>
          <w:sz w:val="22"/>
          <w:szCs w:val="22"/>
        </w:rPr>
        <w:t> </w:t>
      </w:r>
      <w:r w:rsidR="00FB09AE">
        <w:rPr>
          <w:rFonts w:ascii="Calibri" w:hAnsi="Calibri"/>
          <w:sz w:val="22"/>
          <w:szCs w:val="22"/>
        </w:rPr>
        <w:t>nahoru do stropu</w:t>
      </w:r>
      <w:r w:rsidR="00ED7AED">
        <w:rPr>
          <w:rFonts w:ascii="Calibri" w:hAnsi="Calibri"/>
          <w:sz w:val="22"/>
          <w:szCs w:val="22"/>
        </w:rPr>
        <w:t xml:space="preserve"> a/nebo do stran</w:t>
      </w:r>
    </w:p>
    <w:p w14:paraId="166A3D23" w14:textId="0609E50C" w:rsidR="00887EE2" w:rsidRDefault="00887EE2" w:rsidP="00F0500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stropní svítidlo</w:t>
      </w:r>
      <w:r w:rsidR="000D117B">
        <w:rPr>
          <w:rFonts w:ascii="Calibri" w:hAnsi="Calibri"/>
          <w:sz w:val="22"/>
          <w:szCs w:val="22"/>
        </w:rPr>
        <w:t xml:space="preserve"> s osvětlení</w:t>
      </w:r>
      <w:r w:rsidR="00EA2664">
        <w:rPr>
          <w:rFonts w:ascii="Calibri" w:hAnsi="Calibri"/>
          <w:sz w:val="22"/>
          <w:szCs w:val="22"/>
        </w:rPr>
        <w:t>m</w:t>
      </w:r>
      <w:r w:rsidR="000D117B">
        <w:rPr>
          <w:rFonts w:ascii="Calibri" w:hAnsi="Calibri"/>
          <w:sz w:val="22"/>
          <w:szCs w:val="22"/>
        </w:rPr>
        <w:t xml:space="preserve"> směrem dolů</w:t>
      </w:r>
    </w:p>
    <w:p w14:paraId="05CF0EBD" w14:textId="77777777" w:rsidR="003D37F6" w:rsidRPr="003D37F6" w:rsidRDefault="003D37F6" w:rsidP="003D37F6">
      <w:pPr>
        <w:pStyle w:val="Odstavecseseznamem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3D37F6">
        <w:rPr>
          <w:rFonts w:ascii="Calibri" w:hAnsi="Calibri"/>
          <w:sz w:val="22"/>
          <w:szCs w:val="22"/>
        </w:rPr>
        <w:t>teplota chromatičnosti 4000–5000 K</w:t>
      </w:r>
    </w:p>
    <w:p w14:paraId="081FBC46" w14:textId="25C52ECE" w:rsidR="000D117B" w:rsidRDefault="00A75A7F" w:rsidP="00F0500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světelné spektrum s vyšším podílem modré složky</w:t>
      </w:r>
    </w:p>
    <w:p w14:paraId="18A15D5F" w14:textId="6E2608EB" w:rsidR="00A163DB" w:rsidRDefault="00A163DB" w:rsidP="00F0500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vysoká intenzita světla (min. 2000 lm)</w:t>
      </w:r>
    </w:p>
    <w:p w14:paraId="44311622" w14:textId="2A2AEC72" w:rsidR="00EC4D5D" w:rsidRDefault="00EC4D5D" w:rsidP="00F0500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velmi vysoká kvalita podání barev CRI &gt; 90</w:t>
      </w:r>
    </w:p>
    <w:p w14:paraId="7C74190B" w14:textId="6EDC956E" w:rsidR="00096229" w:rsidRPr="00096229" w:rsidRDefault="00096229" w:rsidP="00096229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</w:t>
      </w:r>
      <w:r w:rsidRPr="00F64A3A">
        <w:rPr>
          <w:rFonts w:ascii="Calibri" w:hAnsi="Calibri"/>
          <w:sz w:val="22"/>
          <w:szCs w:val="22"/>
        </w:rPr>
        <w:t>Noční orientační osvětlení</w:t>
      </w:r>
    </w:p>
    <w:p w14:paraId="6D4E8FC0" w14:textId="208FF8AD" w:rsidR="00A31331" w:rsidRDefault="00A31331" w:rsidP="00F0500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automaticky spínané noční orientační osvětlení s tlumenou jantarovou barvou a průměrnou osvětleností v jednotkách luxů, světelný zdroj s rovnoměrnou distribucí, zcela bez krátkých vlnových délek (tzv. modré světlo) s teplotou chromatičnosti 1600–2000 K a s indexem podání barev CRI 30–50, široké spektrum světla (tzv. PC amber nebo rovnocenné řešení)</w:t>
      </w:r>
    </w:p>
    <w:p w14:paraId="4E43C1EA" w14:textId="18730946" w:rsidR="003C1555" w:rsidRDefault="003C1555" w:rsidP="00F0500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automatické spínání řízené pohybovým čidlem</w:t>
      </w:r>
    </w:p>
    <w:p w14:paraId="28EA2A2B" w14:textId="14C1202C" w:rsidR="00642E56" w:rsidRDefault="003C1555" w:rsidP="00F0500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osvětlení umístěno </w:t>
      </w:r>
      <w:r w:rsidR="00B76263">
        <w:rPr>
          <w:rFonts w:ascii="Calibri" w:hAnsi="Calibri"/>
          <w:sz w:val="22"/>
          <w:szCs w:val="22"/>
        </w:rPr>
        <w:t>na stropě a nasměrov</w:t>
      </w:r>
      <w:r w:rsidR="0053016A">
        <w:rPr>
          <w:rFonts w:ascii="Calibri" w:hAnsi="Calibri"/>
          <w:sz w:val="22"/>
          <w:szCs w:val="22"/>
        </w:rPr>
        <w:t>áno</w:t>
      </w:r>
      <w:r w:rsidR="00B76263">
        <w:rPr>
          <w:rFonts w:ascii="Calibri" w:hAnsi="Calibri"/>
          <w:sz w:val="22"/>
          <w:szCs w:val="22"/>
        </w:rPr>
        <w:t xml:space="preserve"> ke zdi, aby nedošlo k</w:t>
      </w:r>
      <w:r w:rsidR="0003204C">
        <w:rPr>
          <w:rFonts w:ascii="Calibri" w:hAnsi="Calibri"/>
          <w:sz w:val="22"/>
          <w:szCs w:val="22"/>
        </w:rPr>
        <w:t> </w:t>
      </w:r>
      <w:r w:rsidR="00B76263">
        <w:rPr>
          <w:rFonts w:ascii="Calibri" w:hAnsi="Calibri"/>
          <w:sz w:val="22"/>
          <w:szCs w:val="22"/>
        </w:rPr>
        <w:t>oslnění</w:t>
      </w:r>
    </w:p>
    <w:p w14:paraId="23459507" w14:textId="5F0DAFB8" w:rsidR="0003204C" w:rsidRDefault="0003204C" w:rsidP="00F0500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osvětlení s plynulým postupným rozsvěcením </w:t>
      </w:r>
      <w:r w:rsidR="00C61426">
        <w:rPr>
          <w:rFonts w:ascii="Calibri" w:hAnsi="Calibri"/>
          <w:sz w:val="22"/>
          <w:szCs w:val="22"/>
        </w:rPr>
        <w:t xml:space="preserve">(v délce cca 1 vteřiny) </w:t>
      </w:r>
      <w:r>
        <w:rPr>
          <w:rFonts w:ascii="Calibri" w:hAnsi="Calibri"/>
          <w:sz w:val="22"/>
          <w:szCs w:val="22"/>
        </w:rPr>
        <w:t>i zhasínám (</w:t>
      </w:r>
      <w:r w:rsidR="0073391D">
        <w:rPr>
          <w:rFonts w:ascii="Calibri" w:hAnsi="Calibri"/>
          <w:sz w:val="22"/>
          <w:szCs w:val="22"/>
        </w:rPr>
        <w:t>postupným stmíváním v délce 30–120 vteřin v případě, že pohybové čidlo po dobu 120 vteřin nezaznamená žádný pohyb)</w:t>
      </w:r>
      <w:r>
        <w:rPr>
          <w:rFonts w:ascii="Calibri" w:hAnsi="Calibri"/>
          <w:sz w:val="22"/>
          <w:szCs w:val="22"/>
        </w:rPr>
        <w:t>, pohybová čidla s plně tichým chodem</w:t>
      </w:r>
    </w:p>
    <w:p w14:paraId="105CE960" w14:textId="54C5E190" w:rsidR="00714D01" w:rsidRDefault="00FC39CB" w:rsidP="00FC39C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F6083F" w:rsidRPr="00FC39CB">
        <w:rPr>
          <w:rFonts w:ascii="Calibri" w:hAnsi="Calibri"/>
          <w:sz w:val="22"/>
          <w:szCs w:val="22"/>
        </w:rPr>
        <w:t>e společenských místnostech</w:t>
      </w:r>
      <w:r w:rsidR="005D5A8E" w:rsidRPr="00FC39CB">
        <w:rPr>
          <w:rFonts w:ascii="Calibri" w:hAnsi="Calibri"/>
          <w:sz w:val="22"/>
          <w:szCs w:val="22"/>
        </w:rPr>
        <w:t xml:space="preserve"> bude</w:t>
      </w:r>
      <w:r w:rsidR="00DF6BB9">
        <w:rPr>
          <w:rFonts w:ascii="Calibri" w:hAnsi="Calibri"/>
          <w:sz w:val="22"/>
          <w:szCs w:val="22"/>
        </w:rPr>
        <w:t xml:space="preserve"> osvětlení</w:t>
      </w:r>
      <w:r w:rsidR="005D5A8E" w:rsidRPr="00FC39CB">
        <w:rPr>
          <w:rFonts w:ascii="Calibri" w:hAnsi="Calibri"/>
          <w:sz w:val="22"/>
          <w:szCs w:val="22"/>
        </w:rPr>
        <w:t xml:space="preserve"> řešen</w:t>
      </w:r>
      <w:r w:rsidR="00AF421E">
        <w:rPr>
          <w:rFonts w:ascii="Calibri" w:hAnsi="Calibri"/>
          <w:sz w:val="22"/>
          <w:szCs w:val="22"/>
        </w:rPr>
        <w:t>é</w:t>
      </w:r>
      <w:r w:rsidR="005D5A8E" w:rsidRPr="00FC39CB">
        <w:rPr>
          <w:rFonts w:ascii="Calibri" w:hAnsi="Calibri"/>
          <w:sz w:val="22"/>
          <w:szCs w:val="22"/>
        </w:rPr>
        <w:t xml:space="preserve"> instalací </w:t>
      </w:r>
      <w:r w:rsidR="00444C2B" w:rsidRPr="00FC39CB">
        <w:rPr>
          <w:rFonts w:ascii="Calibri" w:hAnsi="Calibri"/>
          <w:sz w:val="22"/>
          <w:szCs w:val="22"/>
        </w:rPr>
        <w:t>plošn</w:t>
      </w:r>
      <w:r w:rsidR="005D5A8E" w:rsidRPr="00FC39CB">
        <w:rPr>
          <w:rFonts w:ascii="Calibri" w:hAnsi="Calibri"/>
          <w:sz w:val="22"/>
          <w:szCs w:val="22"/>
        </w:rPr>
        <w:t>ých</w:t>
      </w:r>
      <w:r w:rsidR="00444C2B" w:rsidRPr="00FC39CB">
        <w:rPr>
          <w:rFonts w:ascii="Calibri" w:hAnsi="Calibri"/>
          <w:sz w:val="22"/>
          <w:szCs w:val="22"/>
        </w:rPr>
        <w:t xml:space="preserve"> panel</w:t>
      </w:r>
      <w:r w:rsidR="005D5A8E" w:rsidRPr="00FC39CB">
        <w:rPr>
          <w:rFonts w:ascii="Calibri" w:hAnsi="Calibri"/>
          <w:sz w:val="22"/>
          <w:szCs w:val="22"/>
        </w:rPr>
        <w:t>ů</w:t>
      </w:r>
      <w:r w:rsidR="00444C2B" w:rsidRPr="00FC39CB">
        <w:rPr>
          <w:rFonts w:ascii="Calibri" w:hAnsi="Calibri"/>
          <w:sz w:val="22"/>
          <w:szCs w:val="22"/>
        </w:rPr>
        <w:t xml:space="preserve"> s opálovými difuzory </w:t>
      </w:r>
      <w:r w:rsidR="00AF421E">
        <w:rPr>
          <w:rFonts w:ascii="Calibri" w:hAnsi="Calibri"/>
          <w:sz w:val="22"/>
          <w:szCs w:val="22"/>
        </w:rPr>
        <w:t>a </w:t>
      </w:r>
      <w:r w:rsidR="00444C2B" w:rsidRPr="00FC39CB">
        <w:rPr>
          <w:rFonts w:ascii="Calibri" w:hAnsi="Calibri"/>
          <w:sz w:val="22"/>
          <w:szCs w:val="22"/>
        </w:rPr>
        <w:t xml:space="preserve">řízené biodynamickou regulací, která automaticky přepíná </w:t>
      </w:r>
      <w:r w:rsidR="005800A2" w:rsidRPr="00FC39CB">
        <w:rPr>
          <w:rFonts w:ascii="Calibri" w:hAnsi="Calibri"/>
          <w:sz w:val="22"/>
          <w:szCs w:val="22"/>
        </w:rPr>
        <w:t>z denního režimu s vysokou intenzitou a</w:t>
      </w:r>
      <w:r w:rsidR="0000389A">
        <w:rPr>
          <w:rFonts w:ascii="Calibri" w:hAnsi="Calibri"/>
          <w:sz w:val="22"/>
          <w:szCs w:val="22"/>
        </w:rPr>
        <w:t> </w:t>
      </w:r>
      <w:r w:rsidR="005800A2" w:rsidRPr="00FC39CB">
        <w:rPr>
          <w:rFonts w:ascii="Calibri" w:hAnsi="Calibri"/>
          <w:sz w:val="22"/>
          <w:szCs w:val="22"/>
        </w:rPr>
        <w:t>neutrálním barevným tónem světla do večerní atmosféry se zdroji s výrazně omezenou složkou krátkých vlnových délek (tzv. modrého světla)</w:t>
      </w:r>
      <w:r w:rsidR="001734BF">
        <w:rPr>
          <w:rFonts w:ascii="Calibri" w:hAnsi="Calibri"/>
          <w:sz w:val="22"/>
          <w:szCs w:val="22"/>
        </w:rPr>
        <w:t xml:space="preserve"> se zamezením blikání (flicker)</w:t>
      </w:r>
      <w:r w:rsidR="007F633E">
        <w:rPr>
          <w:rFonts w:ascii="Calibri" w:hAnsi="Calibri"/>
          <w:sz w:val="22"/>
          <w:szCs w:val="22"/>
        </w:rPr>
        <w:t>:</w:t>
      </w:r>
    </w:p>
    <w:p w14:paraId="18BD6301" w14:textId="383EA28C" w:rsidR="007F633E" w:rsidRDefault="00A274C7" w:rsidP="007F633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automaticky upravovaná intenzita světla v závislosti na denní době s postupnou a přirozenou změnou spektra, světelného výkonu a prostorové distribuce (plynulá změna po dobu min. 60 minut) </w:t>
      </w:r>
      <w:r w:rsidR="007F633E">
        <w:rPr>
          <w:rFonts w:ascii="Calibri" w:hAnsi="Calibri"/>
          <w:sz w:val="22"/>
          <w:szCs w:val="22"/>
        </w:rPr>
        <w:t>bez přístupu uživatelů k řízení kvality a kvantity osvětlení (uživatelé mohou osvětlení pouze vypínat/zapínat)</w:t>
      </w:r>
    </w:p>
    <w:p w14:paraId="55EE9F43" w14:textId="7F2D36CD" w:rsidR="00381A18" w:rsidRPr="00381A18" w:rsidRDefault="00381A18" w:rsidP="00381A1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změnu provádí předprogramovaný časový systém s kalendářním (jaro/léto/podzim/zima) a</w:t>
      </w:r>
      <w:r w:rsidR="00621A2C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denním řízením, úpravu řízení může provést administrátor (personál domova pro seniory) pomocí dodaného ovládacího zařízení/aplikace</w:t>
      </w:r>
    </w:p>
    <w:p w14:paraId="0F1EFDF4" w14:textId="7E28CBD5" w:rsidR="007F633E" w:rsidRDefault="007F633E" w:rsidP="007F633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teplota chromatičnosti pro denní osvětlení 4</w:t>
      </w:r>
      <w:r w:rsidR="00B84C95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00–5000 K, ve spektru rovnoměrné zastoupení všech vlnových délek v centrálním pásmu 450–650 nm s maximální odchylkou </w:t>
      </w:r>
      <w:r w:rsidRPr="009909FB">
        <w:rPr>
          <w:rFonts w:ascii="Calibri" w:hAnsi="Calibri"/>
          <w:sz w:val="22"/>
          <w:szCs w:val="22"/>
        </w:rPr>
        <w:t>± 1</w:t>
      </w:r>
      <w:r>
        <w:rPr>
          <w:rFonts w:ascii="Calibri" w:hAnsi="Calibri"/>
          <w:sz w:val="22"/>
          <w:szCs w:val="22"/>
        </w:rPr>
        <w:t>5</w:t>
      </w:r>
      <w:r w:rsidRPr="009909FB">
        <w:rPr>
          <w:rFonts w:ascii="Calibri" w:hAnsi="Calibri"/>
          <w:sz w:val="22"/>
          <w:szCs w:val="22"/>
        </w:rPr>
        <w:t xml:space="preserve"> %</w:t>
      </w:r>
      <w:r>
        <w:rPr>
          <w:rFonts w:ascii="Calibri" w:hAnsi="Calibri"/>
          <w:sz w:val="22"/>
          <w:szCs w:val="22"/>
        </w:rPr>
        <w:t xml:space="preserve"> (plnospektrální zdroj světla) s posílením spektra v pásmu biologicky aktivizujících modrých a</w:t>
      </w:r>
      <w:r w:rsidR="00621A2C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azurových vlnových délek v pásmu 450–500 nm (pro-kognitivní světelný zdroj) s velmi vysokou kvalitou podání barev </w:t>
      </w:r>
      <w:r w:rsidR="0005468D">
        <w:rPr>
          <w:rFonts w:ascii="Calibri" w:hAnsi="Calibri"/>
          <w:sz w:val="22"/>
          <w:szCs w:val="22"/>
        </w:rPr>
        <w:t>CRI</w:t>
      </w:r>
      <w:r>
        <w:rPr>
          <w:rFonts w:ascii="Calibri" w:hAnsi="Calibri"/>
          <w:sz w:val="22"/>
          <w:szCs w:val="22"/>
        </w:rPr>
        <w:t xml:space="preserve"> &gt; 90</w:t>
      </w:r>
    </w:p>
    <w:p w14:paraId="1A7710EB" w14:textId="784A76EF" w:rsidR="001734BF" w:rsidRPr="00381A18" w:rsidRDefault="001734BF" w:rsidP="00381A1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teplota chromatičnosti pro večerní osvětlení </w:t>
      </w:r>
      <w:r w:rsidRPr="001734BF">
        <w:rPr>
          <w:rFonts w:ascii="Calibri" w:hAnsi="Calibri"/>
          <w:sz w:val="22"/>
          <w:szCs w:val="22"/>
        </w:rPr>
        <w:t>2200–3000 K</w:t>
      </w:r>
      <w:r>
        <w:rPr>
          <w:rFonts w:ascii="Calibri" w:hAnsi="Calibri"/>
          <w:sz w:val="22"/>
          <w:szCs w:val="22"/>
        </w:rPr>
        <w:t xml:space="preserve">, </w:t>
      </w:r>
      <w:r w:rsidRPr="001734BF">
        <w:rPr>
          <w:rFonts w:ascii="Calibri" w:hAnsi="Calibri"/>
          <w:sz w:val="22"/>
          <w:szCs w:val="22"/>
        </w:rPr>
        <w:t>ve spektru nižší zastoupením krátkých vlnových délek a vyšší zastoupení tzv. červeného světla</w:t>
      </w:r>
      <w:r w:rsidR="00A274C7">
        <w:rPr>
          <w:rFonts w:ascii="Calibri" w:hAnsi="Calibri"/>
          <w:sz w:val="22"/>
          <w:szCs w:val="22"/>
        </w:rPr>
        <w:t xml:space="preserve"> s </w:t>
      </w:r>
      <w:r w:rsidRPr="001734BF">
        <w:rPr>
          <w:rFonts w:ascii="Calibri" w:hAnsi="Calibri"/>
          <w:sz w:val="22"/>
          <w:szCs w:val="22"/>
        </w:rPr>
        <w:t>velmi vysok</w:t>
      </w:r>
      <w:r w:rsidR="00A274C7">
        <w:rPr>
          <w:rFonts w:ascii="Calibri" w:hAnsi="Calibri"/>
          <w:sz w:val="22"/>
          <w:szCs w:val="22"/>
        </w:rPr>
        <w:t>ou</w:t>
      </w:r>
      <w:r w:rsidRPr="001734BF">
        <w:rPr>
          <w:rFonts w:ascii="Calibri" w:hAnsi="Calibri"/>
          <w:sz w:val="22"/>
          <w:szCs w:val="22"/>
        </w:rPr>
        <w:t xml:space="preserve"> kvalit</w:t>
      </w:r>
      <w:r w:rsidR="00A274C7">
        <w:rPr>
          <w:rFonts w:ascii="Calibri" w:hAnsi="Calibri"/>
          <w:sz w:val="22"/>
          <w:szCs w:val="22"/>
        </w:rPr>
        <w:t>ou</w:t>
      </w:r>
      <w:r w:rsidRPr="001734BF">
        <w:rPr>
          <w:rFonts w:ascii="Calibri" w:hAnsi="Calibri"/>
          <w:sz w:val="22"/>
          <w:szCs w:val="22"/>
        </w:rPr>
        <w:t xml:space="preserve"> podání barev CRI &gt; 90</w:t>
      </w:r>
    </w:p>
    <w:p w14:paraId="736A10A6" w14:textId="4D5708B9" w:rsidR="00F6083F" w:rsidRDefault="00FC39CB" w:rsidP="00FC39C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F6083F" w:rsidRPr="00FC39CB">
        <w:rPr>
          <w:rFonts w:ascii="Calibri" w:hAnsi="Calibri"/>
          <w:sz w:val="22"/>
          <w:szCs w:val="22"/>
        </w:rPr>
        <w:t>a chodbách</w:t>
      </w:r>
      <w:r w:rsidR="004C1012">
        <w:rPr>
          <w:rFonts w:ascii="Calibri" w:hAnsi="Calibri"/>
          <w:sz w:val="22"/>
          <w:szCs w:val="22"/>
        </w:rPr>
        <w:t xml:space="preserve"> bude obvykle používané </w:t>
      </w:r>
      <w:r w:rsidR="00474F0F">
        <w:rPr>
          <w:rFonts w:ascii="Calibri" w:hAnsi="Calibri"/>
          <w:sz w:val="22"/>
          <w:szCs w:val="22"/>
        </w:rPr>
        <w:t xml:space="preserve">denní </w:t>
      </w:r>
      <w:r w:rsidR="004C1012">
        <w:rPr>
          <w:rFonts w:ascii="Calibri" w:hAnsi="Calibri"/>
          <w:sz w:val="22"/>
          <w:szCs w:val="22"/>
        </w:rPr>
        <w:t xml:space="preserve">osvětlení doplněno </w:t>
      </w:r>
      <w:r w:rsidR="00BE7DDE">
        <w:rPr>
          <w:rFonts w:ascii="Calibri" w:hAnsi="Calibri"/>
          <w:sz w:val="22"/>
          <w:szCs w:val="22"/>
        </w:rPr>
        <w:t>nočním režimem</w:t>
      </w:r>
      <w:r w:rsidR="00BE7DDE" w:rsidRPr="00BE7DDE">
        <w:t xml:space="preserve"> </w:t>
      </w:r>
      <w:r w:rsidR="00BE7DDE" w:rsidRPr="00BE7DDE">
        <w:rPr>
          <w:rFonts w:ascii="Calibri" w:hAnsi="Calibri"/>
          <w:sz w:val="22"/>
          <w:szCs w:val="22"/>
        </w:rPr>
        <w:t>LED osvětlením s</w:t>
      </w:r>
      <w:r w:rsidR="000838A7">
        <w:rPr>
          <w:rFonts w:ascii="Calibri" w:hAnsi="Calibri"/>
          <w:sz w:val="22"/>
          <w:szCs w:val="22"/>
        </w:rPr>
        <w:t> </w:t>
      </w:r>
      <w:r w:rsidR="00BE7DDE" w:rsidRPr="00BE7DDE">
        <w:rPr>
          <w:rFonts w:ascii="Calibri" w:hAnsi="Calibri"/>
          <w:sz w:val="22"/>
          <w:szCs w:val="22"/>
        </w:rPr>
        <w:t>jantarovým barevným tónem a vysokou rovnoměrností světla</w:t>
      </w:r>
      <w:r w:rsidR="00282BA5">
        <w:rPr>
          <w:rFonts w:ascii="Calibri" w:hAnsi="Calibri"/>
          <w:sz w:val="22"/>
          <w:szCs w:val="22"/>
        </w:rPr>
        <w:t>:</w:t>
      </w:r>
    </w:p>
    <w:p w14:paraId="5718483D" w14:textId="36FEBA72" w:rsidR="00282BA5" w:rsidRDefault="001A6126" w:rsidP="00282BA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automaticky spínané noční orientační osvětlení s tlumenou jantarovou barvou a průměrnou osvětleností v jednotkách luxů, světelný zdroj s rovnoměrnou distribucí, zcela bez krátkých vlnových délek (tzv. modré světlo) s teplotou chromatičnosti 1600–2000 K a s indexem podání barev CRI 30–50, široké spektrum světla (tzv. PC amber nebo rovnocenné řešení)</w:t>
      </w:r>
    </w:p>
    <w:p w14:paraId="6AF5FE72" w14:textId="77777777" w:rsidR="00865F1F" w:rsidRDefault="00865F1F" w:rsidP="00865F1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automatické spínání řízené pohybovým čidlem</w:t>
      </w:r>
    </w:p>
    <w:p w14:paraId="65438945" w14:textId="3925237F" w:rsidR="00865F1F" w:rsidRDefault="009C777A" w:rsidP="00282BA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osvětlení umístěn</w:t>
      </w:r>
      <w:r w:rsidR="000B5541">
        <w:rPr>
          <w:rFonts w:ascii="Calibri" w:hAnsi="Calibri"/>
          <w:sz w:val="22"/>
          <w:szCs w:val="22"/>
        </w:rPr>
        <w:t xml:space="preserve">o v nízko položené horizontální liště </w:t>
      </w:r>
      <w:r w:rsidR="0053016A">
        <w:rPr>
          <w:rFonts w:ascii="Calibri" w:hAnsi="Calibri"/>
          <w:sz w:val="22"/>
          <w:szCs w:val="22"/>
        </w:rPr>
        <w:t>na stěnách chodeb a směrováno dolů k</w:t>
      </w:r>
      <w:r w:rsidR="00EF5C9C">
        <w:rPr>
          <w:rFonts w:ascii="Calibri" w:hAnsi="Calibri"/>
          <w:sz w:val="22"/>
          <w:szCs w:val="22"/>
        </w:rPr>
        <w:t> </w:t>
      </w:r>
      <w:r w:rsidR="0053016A">
        <w:rPr>
          <w:rFonts w:ascii="Calibri" w:hAnsi="Calibri"/>
          <w:sz w:val="22"/>
          <w:szCs w:val="22"/>
        </w:rPr>
        <w:t>podlaze</w:t>
      </w:r>
    </w:p>
    <w:p w14:paraId="110FA471" w14:textId="4B41AD97" w:rsidR="00AE7C34" w:rsidRPr="00EF5C9C" w:rsidRDefault="00F67227" w:rsidP="00F67227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EF5C9C">
        <w:rPr>
          <w:rFonts w:ascii="Calibri" w:hAnsi="Calibri"/>
          <w:b/>
          <w:szCs w:val="22"/>
        </w:rPr>
        <w:t>Pro nabízen</w:t>
      </w:r>
      <w:r w:rsidR="009765AB">
        <w:rPr>
          <w:rFonts w:ascii="Calibri" w:hAnsi="Calibri"/>
          <w:b/>
          <w:szCs w:val="22"/>
        </w:rPr>
        <w:t>ou</w:t>
      </w:r>
      <w:r w:rsidRPr="00EF5C9C">
        <w:rPr>
          <w:rFonts w:ascii="Calibri" w:hAnsi="Calibri"/>
          <w:b/>
          <w:szCs w:val="22"/>
        </w:rPr>
        <w:t xml:space="preserve"> Přidan</w:t>
      </w:r>
      <w:r w:rsidR="009765AB">
        <w:rPr>
          <w:rFonts w:ascii="Calibri" w:hAnsi="Calibri"/>
          <w:b/>
          <w:szCs w:val="22"/>
        </w:rPr>
        <w:t>ou</w:t>
      </w:r>
      <w:r w:rsidRPr="00EF5C9C">
        <w:rPr>
          <w:rFonts w:ascii="Calibri" w:hAnsi="Calibri"/>
          <w:b/>
          <w:szCs w:val="22"/>
        </w:rPr>
        <w:t xml:space="preserve"> hodnot</w:t>
      </w:r>
      <w:r w:rsidR="009765AB">
        <w:rPr>
          <w:rFonts w:ascii="Calibri" w:hAnsi="Calibri"/>
          <w:b/>
          <w:szCs w:val="22"/>
        </w:rPr>
        <w:t>u</w:t>
      </w:r>
      <w:r w:rsidRPr="00EF5C9C">
        <w:rPr>
          <w:rFonts w:ascii="Calibri" w:hAnsi="Calibri"/>
          <w:b/>
          <w:szCs w:val="22"/>
        </w:rPr>
        <w:t xml:space="preserve"> platí, že</w:t>
      </w:r>
      <w:r w:rsidR="00AE7C34" w:rsidRPr="00EF5C9C">
        <w:rPr>
          <w:rFonts w:ascii="Calibri" w:hAnsi="Calibri"/>
          <w:b/>
          <w:szCs w:val="22"/>
        </w:rPr>
        <w:t>:</w:t>
      </w:r>
    </w:p>
    <w:p w14:paraId="70D24134" w14:textId="31AD4BC1" w:rsidR="00AE7C34" w:rsidRPr="00EF5C9C" w:rsidRDefault="00F67227" w:rsidP="00AE7C3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EF5C9C">
        <w:rPr>
          <w:rFonts w:ascii="Calibri" w:hAnsi="Calibri"/>
          <w:b/>
          <w:szCs w:val="22"/>
        </w:rPr>
        <w:t xml:space="preserve">cena za </w:t>
      </w:r>
      <w:r w:rsidR="009765AB">
        <w:rPr>
          <w:rFonts w:ascii="Calibri" w:hAnsi="Calibri"/>
          <w:b/>
          <w:szCs w:val="22"/>
        </w:rPr>
        <w:t>její</w:t>
      </w:r>
      <w:r w:rsidR="009765AB" w:rsidRPr="00EF5C9C">
        <w:rPr>
          <w:rFonts w:ascii="Calibri" w:hAnsi="Calibri"/>
          <w:b/>
          <w:szCs w:val="22"/>
        </w:rPr>
        <w:t xml:space="preserve"> </w:t>
      </w:r>
      <w:r w:rsidRPr="00EF5C9C">
        <w:rPr>
          <w:rFonts w:ascii="Calibri" w:hAnsi="Calibri"/>
          <w:b/>
          <w:szCs w:val="22"/>
        </w:rPr>
        <w:t>provedení včetně souvisejících nákladů je již zahrnuta v</w:t>
      </w:r>
      <w:r w:rsidR="00C92A3F" w:rsidRPr="00EF5C9C">
        <w:rPr>
          <w:rFonts w:ascii="Calibri" w:hAnsi="Calibri"/>
          <w:b/>
          <w:szCs w:val="22"/>
        </w:rPr>
        <w:t> Ceně díla</w:t>
      </w:r>
      <w:r w:rsidRPr="00EF5C9C">
        <w:rPr>
          <w:rFonts w:ascii="Calibri" w:hAnsi="Calibri"/>
          <w:b/>
          <w:szCs w:val="22"/>
        </w:rPr>
        <w:t xml:space="preserve"> </w:t>
      </w:r>
      <w:r w:rsidR="00A07E05" w:rsidRPr="00EF5C9C">
        <w:rPr>
          <w:rFonts w:ascii="Calibri" w:hAnsi="Calibri"/>
          <w:b/>
          <w:szCs w:val="22"/>
        </w:rPr>
        <w:t xml:space="preserve">uvedené </w:t>
      </w:r>
      <w:r w:rsidR="00323B47" w:rsidRPr="00EF5C9C">
        <w:rPr>
          <w:rFonts w:ascii="Calibri" w:hAnsi="Calibri"/>
          <w:b/>
          <w:i/>
          <w:szCs w:val="22"/>
        </w:rPr>
        <w:t xml:space="preserve">v čl. </w:t>
      </w:r>
      <w:r w:rsidR="005A2680" w:rsidRPr="00EF5C9C">
        <w:rPr>
          <w:rFonts w:ascii="Calibri" w:hAnsi="Calibri"/>
          <w:b/>
          <w:i/>
          <w:szCs w:val="22"/>
        </w:rPr>
        <w:t>VI. odst. 1</w:t>
      </w:r>
      <w:r w:rsidR="002D5E08" w:rsidRPr="00EF5C9C">
        <w:rPr>
          <w:rFonts w:ascii="Calibri" w:hAnsi="Calibri"/>
          <w:b/>
          <w:i/>
          <w:szCs w:val="22"/>
        </w:rPr>
        <w:t xml:space="preserve"> obchodních podmínek;</w:t>
      </w:r>
      <w:r w:rsidR="00A67AD7" w:rsidRPr="00EF5C9C">
        <w:rPr>
          <w:rFonts w:ascii="Calibri" w:hAnsi="Calibri"/>
          <w:b/>
          <w:szCs w:val="22"/>
        </w:rPr>
        <w:t xml:space="preserve"> </w:t>
      </w:r>
    </w:p>
    <w:p w14:paraId="38D34EB7" w14:textId="60400A0C" w:rsidR="00F67227" w:rsidRPr="00EF5C9C" w:rsidRDefault="009765AB" w:rsidP="00AE7C3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její</w:t>
      </w:r>
      <w:r w:rsidRPr="00EF5C9C">
        <w:rPr>
          <w:rFonts w:ascii="Calibri" w:hAnsi="Calibri"/>
          <w:b/>
          <w:szCs w:val="22"/>
        </w:rPr>
        <w:t xml:space="preserve"> </w:t>
      </w:r>
      <w:r w:rsidR="00A67AD7" w:rsidRPr="00EF5C9C">
        <w:rPr>
          <w:rFonts w:ascii="Calibri" w:hAnsi="Calibri"/>
          <w:b/>
          <w:szCs w:val="22"/>
        </w:rPr>
        <w:t>provádění n</w:t>
      </w:r>
      <w:r w:rsidR="00F67227" w:rsidRPr="00EF5C9C">
        <w:rPr>
          <w:rFonts w:ascii="Calibri" w:hAnsi="Calibri"/>
          <w:b/>
          <w:szCs w:val="22"/>
        </w:rPr>
        <w:t>em</w:t>
      </w:r>
      <w:r w:rsidR="00A67AD7" w:rsidRPr="00EF5C9C">
        <w:rPr>
          <w:rFonts w:ascii="Calibri" w:hAnsi="Calibri"/>
          <w:b/>
          <w:szCs w:val="22"/>
        </w:rPr>
        <w:t>ůže</w:t>
      </w:r>
      <w:r w:rsidR="00F67227" w:rsidRPr="00EF5C9C">
        <w:rPr>
          <w:rFonts w:ascii="Calibri" w:hAnsi="Calibri"/>
          <w:b/>
          <w:szCs w:val="22"/>
        </w:rPr>
        <w:t xml:space="preserve"> prodloužit </w:t>
      </w:r>
      <w:r w:rsidR="00216BA5" w:rsidRPr="00EF5C9C">
        <w:rPr>
          <w:rFonts w:ascii="Calibri" w:hAnsi="Calibri"/>
          <w:b/>
          <w:szCs w:val="22"/>
        </w:rPr>
        <w:t>dobu plnění</w:t>
      </w:r>
      <w:r w:rsidR="000E1066" w:rsidRPr="00EF5C9C">
        <w:rPr>
          <w:rFonts w:ascii="Calibri" w:hAnsi="Calibri"/>
          <w:b/>
          <w:szCs w:val="22"/>
        </w:rPr>
        <w:t xml:space="preserve"> uvedenou </w:t>
      </w:r>
      <w:r w:rsidR="00FE073E" w:rsidRPr="00EF5C9C">
        <w:rPr>
          <w:rFonts w:ascii="Calibri" w:hAnsi="Calibri"/>
          <w:b/>
          <w:szCs w:val="22"/>
        </w:rPr>
        <w:t>čl. V. obchodních podmínek</w:t>
      </w:r>
      <w:r w:rsidR="00031508" w:rsidRPr="00EF5C9C">
        <w:rPr>
          <w:rFonts w:ascii="Calibri" w:hAnsi="Calibri"/>
          <w:b/>
          <w:szCs w:val="22"/>
        </w:rPr>
        <w:t xml:space="preserve"> a v příloze č. 1 obchodních podmínek </w:t>
      </w:r>
      <w:r w:rsidR="000D2FC0" w:rsidRPr="00EF5C9C">
        <w:rPr>
          <w:rFonts w:ascii="Calibri" w:hAnsi="Calibri"/>
          <w:b/>
          <w:szCs w:val="22"/>
        </w:rPr>
        <w:t>„Specifikace milníků a úhrad za jejich splnění“</w:t>
      </w:r>
      <w:r w:rsidR="00F67227" w:rsidRPr="00EF5C9C">
        <w:rPr>
          <w:rFonts w:ascii="Calibri" w:hAnsi="Calibri"/>
          <w:b/>
          <w:szCs w:val="22"/>
        </w:rPr>
        <w:t>.</w:t>
      </w:r>
    </w:p>
    <w:sectPr w:rsidR="00F67227" w:rsidRPr="00EF5C9C" w:rsidSect="006D4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AB7B3" w14:textId="77777777" w:rsidR="00174886" w:rsidRDefault="00174886" w:rsidP="00D0173B">
      <w:r>
        <w:separator/>
      </w:r>
    </w:p>
  </w:endnote>
  <w:endnote w:type="continuationSeparator" w:id="0">
    <w:p w14:paraId="64230C7F" w14:textId="77777777" w:rsidR="00174886" w:rsidRDefault="00174886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E9F0" w14:textId="77777777" w:rsidR="002B7182" w:rsidRDefault="002B71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18786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9749724" w14:textId="6BD9C2C5" w:rsidR="006D4C54" w:rsidRPr="006D4C54" w:rsidRDefault="006D4C54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D4C5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C5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D4C5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D4C54">
          <w:rPr>
            <w:rFonts w:asciiTheme="minorHAnsi" w:hAnsiTheme="minorHAnsi" w:cstheme="minorHAnsi"/>
            <w:sz w:val="22"/>
            <w:szCs w:val="22"/>
          </w:rPr>
          <w:t>2</w:t>
        </w:r>
        <w:r w:rsidRPr="006D4C5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ABCCAE" w14:textId="77777777" w:rsidR="006D4C54" w:rsidRDefault="006D4C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8451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76051C6" w14:textId="3E34A7D6" w:rsidR="006D4C54" w:rsidRPr="006D4C54" w:rsidRDefault="006D4C54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D4C5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C5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D4C5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D4C54">
          <w:rPr>
            <w:rFonts w:asciiTheme="minorHAnsi" w:hAnsiTheme="minorHAnsi" w:cstheme="minorHAnsi"/>
            <w:sz w:val="22"/>
            <w:szCs w:val="22"/>
          </w:rPr>
          <w:t>2</w:t>
        </w:r>
        <w:r w:rsidRPr="006D4C5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6F9277" w14:textId="77777777" w:rsidR="006D4C54" w:rsidRDefault="006D4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256DF" w14:textId="77777777" w:rsidR="00174886" w:rsidRDefault="00174886" w:rsidP="00D0173B">
      <w:r>
        <w:separator/>
      </w:r>
    </w:p>
  </w:footnote>
  <w:footnote w:type="continuationSeparator" w:id="0">
    <w:p w14:paraId="49155FAD" w14:textId="77777777" w:rsidR="00174886" w:rsidRDefault="00174886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7334" w14:textId="77777777" w:rsidR="002B7182" w:rsidRDefault="002B71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3932" w14:textId="77777777" w:rsidR="002B7182" w:rsidRDefault="002B71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6B67" w14:textId="381D1005" w:rsidR="002B7182" w:rsidRDefault="002B7182" w:rsidP="002B7182">
    <w:pPr>
      <w:pStyle w:val="Zhlav"/>
      <w:jc w:val="right"/>
    </w:pPr>
    <w:r>
      <w:t>Příloha č. 5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AB9"/>
    <w:multiLevelType w:val="hybridMultilevel"/>
    <w:tmpl w:val="3886C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2326A5"/>
    <w:multiLevelType w:val="hybridMultilevel"/>
    <w:tmpl w:val="9B9C43D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5560C8B"/>
    <w:multiLevelType w:val="hybridMultilevel"/>
    <w:tmpl w:val="AB706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F790B"/>
    <w:multiLevelType w:val="hybridMultilevel"/>
    <w:tmpl w:val="E9726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052CF"/>
    <w:multiLevelType w:val="hybridMultilevel"/>
    <w:tmpl w:val="21200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27F29"/>
    <w:multiLevelType w:val="hybridMultilevel"/>
    <w:tmpl w:val="40183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13FA5"/>
    <w:multiLevelType w:val="hybridMultilevel"/>
    <w:tmpl w:val="D45E9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73E18"/>
    <w:multiLevelType w:val="hybridMultilevel"/>
    <w:tmpl w:val="BC3E2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53E09"/>
    <w:multiLevelType w:val="hybridMultilevel"/>
    <w:tmpl w:val="5E4E4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90505"/>
    <w:multiLevelType w:val="hybridMultilevel"/>
    <w:tmpl w:val="70469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6"/>
  </w:num>
  <w:num w:numId="7">
    <w:abstractNumId w:val="3"/>
  </w:num>
  <w:num w:numId="8">
    <w:abstractNumId w:val="14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15"/>
  </w:num>
  <w:num w:numId="14">
    <w:abstractNumId w:val="4"/>
  </w:num>
  <w:num w:numId="15">
    <w:abstractNumId w:val="10"/>
  </w:num>
  <w:num w:numId="16">
    <w:abstractNumId w:val="7"/>
  </w:num>
  <w:num w:numId="17">
    <w:abstractNumId w:val="11"/>
  </w:num>
  <w:num w:numId="18">
    <w:abstractNumId w:val="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161D"/>
    <w:rsid w:val="00002AB0"/>
    <w:rsid w:val="00002C3B"/>
    <w:rsid w:val="0000389A"/>
    <w:rsid w:val="000041A9"/>
    <w:rsid w:val="000050FB"/>
    <w:rsid w:val="0001562E"/>
    <w:rsid w:val="00016D5D"/>
    <w:rsid w:val="00020DC2"/>
    <w:rsid w:val="0002426D"/>
    <w:rsid w:val="00025ECB"/>
    <w:rsid w:val="00031508"/>
    <w:rsid w:val="0003204C"/>
    <w:rsid w:val="000407AA"/>
    <w:rsid w:val="00050282"/>
    <w:rsid w:val="0005468D"/>
    <w:rsid w:val="00055D07"/>
    <w:rsid w:val="00061843"/>
    <w:rsid w:val="00072812"/>
    <w:rsid w:val="00075E07"/>
    <w:rsid w:val="00081E16"/>
    <w:rsid w:val="000838A7"/>
    <w:rsid w:val="000941FF"/>
    <w:rsid w:val="00096229"/>
    <w:rsid w:val="000B5541"/>
    <w:rsid w:val="000B6DC1"/>
    <w:rsid w:val="000C34C6"/>
    <w:rsid w:val="000C5114"/>
    <w:rsid w:val="000C64D4"/>
    <w:rsid w:val="000C7AF7"/>
    <w:rsid w:val="000D117B"/>
    <w:rsid w:val="000D1291"/>
    <w:rsid w:val="000D2FC0"/>
    <w:rsid w:val="000D556C"/>
    <w:rsid w:val="000D5DA6"/>
    <w:rsid w:val="000D6EA2"/>
    <w:rsid w:val="000D7271"/>
    <w:rsid w:val="000E1066"/>
    <w:rsid w:val="000E3810"/>
    <w:rsid w:val="000E6DE6"/>
    <w:rsid w:val="000F35FD"/>
    <w:rsid w:val="000F5E2C"/>
    <w:rsid w:val="001008D1"/>
    <w:rsid w:val="0012601D"/>
    <w:rsid w:val="001301C6"/>
    <w:rsid w:val="001312D6"/>
    <w:rsid w:val="0014513D"/>
    <w:rsid w:val="00145D14"/>
    <w:rsid w:val="00146C22"/>
    <w:rsid w:val="00152DC6"/>
    <w:rsid w:val="0015477D"/>
    <w:rsid w:val="00164371"/>
    <w:rsid w:val="00164848"/>
    <w:rsid w:val="001721D3"/>
    <w:rsid w:val="001734BF"/>
    <w:rsid w:val="00174886"/>
    <w:rsid w:val="00181209"/>
    <w:rsid w:val="0018426B"/>
    <w:rsid w:val="00186D4D"/>
    <w:rsid w:val="001873B6"/>
    <w:rsid w:val="00187EAB"/>
    <w:rsid w:val="001A2E7D"/>
    <w:rsid w:val="001A2FCB"/>
    <w:rsid w:val="001A6126"/>
    <w:rsid w:val="001B3390"/>
    <w:rsid w:val="001B4520"/>
    <w:rsid w:val="001B58C4"/>
    <w:rsid w:val="001B5D0C"/>
    <w:rsid w:val="001C14B0"/>
    <w:rsid w:val="001D12B3"/>
    <w:rsid w:val="001D6A5F"/>
    <w:rsid w:val="001E0F85"/>
    <w:rsid w:val="001E347A"/>
    <w:rsid w:val="001F44EB"/>
    <w:rsid w:val="00216BA5"/>
    <w:rsid w:val="00231C1A"/>
    <w:rsid w:val="00233D19"/>
    <w:rsid w:val="0027327A"/>
    <w:rsid w:val="00277A6C"/>
    <w:rsid w:val="00282BA5"/>
    <w:rsid w:val="0029042B"/>
    <w:rsid w:val="00293072"/>
    <w:rsid w:val="002A348D"/>
    <w:rsid w:val="002B7182"/>
    <w:rsid w:val="002C01A0"/>
    <w:rsid w:val="002C23CB"/>
    <w:rsid w:val="002C7C67"/>
    <w:rsid w:val="002D051C"/>
    <w:rsid w:val="002D16D5"/>
    <w:rsid w:val="002D5E08"/>
    <w:rsid w:val="00312244"/>
    <w:rsid w:val="00312319"/>
    <w:rsid w:val="003133BE"/>
    <w:rsid w:val="00323B47"/>
    <w:rsid w:val="003244E5"/>
    <w:rsid w:val="0032684E"/>
    <w:rsid w:val="00340B0B"/>
    <w:rsid w:val="00340B84"/>
    <w:rsid w:val="00352E3A"/>
    <w:rsid w:val="00354A74"/>
    <w:rsid w:val="00356609"/>
    <w:rsid w:val="0036651E"/>
    <w:rsid w:val="00370E96"/>
    <w:rsid w:val="00372C77"/>
    <w:rsid w:val="00376617"/>
    <w:rsid w:val="00381A18"/>
    <w:rsid w:val="0038589E"/>
    <w:rsid w:val="0038731D"/>
    <w:rsid w:val="00393FA8"/>
    <w:rsid w:val="003A33C1"/>
    <w:rsid w:val="003A50AF"/>
    <w:rsid w:val="003A5D2E"/>
    <w:rsid w:val="003B51FF"/>
    <w:rsid w:val="003B6C5F"/>
    <w:rsid w:val="003C1555"/>
    <w:rsid w:val="003D37F6"/>
    <w:rsid w:val="003E26EA"/>
    <w:rsid w:val="003E39ED"/>
    <w:rsid w:val="003E4547"/>
    <w:rsid w:val="003E504A"/>
    <w:rsid w:val="003F0237"/>
    <w:rsid w:val="00407ABF"/>
    <w:rsid w:val="00412871"/>
    <w:rsid w:val="00421463"/>
    <w:rsid w:val="00432B67"/>
    <w:rsid w:val="004350C4"/>
    <w:rsid w:val="00444C2B"/>
    <w:rsid w:val="00444F33"/>
    <w:rsid w:val="00454957"/>
    <w:rsid w:val="00461FA8"/>
    <w:rsid w:val="00474ECF"/>
    <w:rsid w:val="00474F0F"/>
    <w:rsid w:val="00480C6E"/>
    <w:rsid w:val="0048381D"/>
    <w:rsid w:val="0048399D"/>
    <w:rsid w:val="00487AA5"/>
    <w:rsid w:val="00491A77"/>
    <w:rsid w:val="0049373C"/>
    <w:rsid w:val="004A1401"/>
    <w:rsid w:val="004A4B17"/>
    <w:rsid w:val="004A4F63"/>
    <w:rsid w:val="004B475F"/>
    <w:rsid w:val="004C1012"/>
    <w:rsid w:val="004C7ADF"/>
    <w:rsid w:val="004C7EEA"/>
    <w:rsid w:val="004D37AC"/>
    <w:rsid w:val="004E37B2"/>
    <w:rsid w:val="004F3EE3"/>
    <w:rsid w:val="00507802"/>
    <w:rsid w:val="005131C5"/>
    <w:rsid w:val="005137FB"/>
    <w:rsid w:val="00513CE3"/>
    <w:rsid w:val="0053016A"/>
    <w:rsid w:val="005408E6"/>
    <w:rsid w:val="005422B6"/>
    <w:rsid w:val="00543C1F"/>
    <w:rsid w:val="005505F1"/>
    <w:rsid w:val="0055155B"/>
    <w:rsid w:val="00565B2D"/>
    <w:rsid w:val="005800A2"/>
    <w:rsid w:val="005823EF"/>
    <w:rsid w:val="0059663F"/>
    <w:rsid w:val="005A2680"/>
    <w:rsid w:val="005A6EC6"/>
    <w:rsid w:val="005C0F36"/>
    <w:rsid w:val="005C19F3"/>
    <w:rsid w:val="005C2A7D"/>
    <w:rsid w:val="005D2277"/>
    <w:rsid w:val="005D3754"/>
    <w:rsid w:val="005D5A8E"/>
    <w:rsid w:val="005D68D4"/>
    <w:rsid w:val="005E0CCF"/>
    <w:rsid w:val="005E5D0F"/>
    <w:rsid w:val="005E6273"/>
    <w:rsid w:val="005E66C3"/>
    <w:rsid w:val="005E75E3"/>
    <w:rsid w:val="005F0EBF"/>
    <w:rsid w:val="0060395B"/>
    <w:rsid w:val="00621A2C"/>
    <w:rsid w:val="0062460F"/>
    <w:rsid w:val="00635CC8"/>
    <w:rsid w:val="00642E56"/>
    <w:rsid w:val="0066341D"/>
    <w:rsid w:val="00674009"/>
    <w:rsid w:val="0067566E"/>
    <w:rsid w:val="0068702A"/>
    <w:rsid w:val="006925A3"/>
    <w:rsid w:val="00695D53"/>
    <w:rsid w:val="006C188B"/>
    <w:rsid w:val="006C2647"/>
    <w:rsid w:val="006D3FC2"/>
    <w:rsid w:val="006D4C54"/>
    <w:rsid w:val="006D752D"/>
    <w:rsid w:val="006E1F58"/>
    <w:rsid w:val="006F5EB3"/>
    <w:rsid w:val="00702427"/>
    <w:rsid w:val="0070450B"/>
    <w:rsid w:val="0070591A"/>
    <w:rsid w:val="00712518"/>
    <w:rsid w:val="007129B5"/>
    <w:rsid w:val="00714D01"/>
    <w:rsid w:val="00723B21"/>
    <w:rsid w:val="00724907"/>
    <w:rsid w:val="00731937"/>
    <w:rsid w:val="0073356D"/>
    <w:rsid w:val="0073391D"/>
    <w:rsid w:val="00740821"/>
    <w:rsid w:val="00741138"/>
    <w:rsid w:val="00755BA4"/>
    <w:rsid w:val="00757FBC"/>
    <w:rsid w:val="00764743"/>
    <w:rsid w:val="00770088"/>
    <w:rsid w:val="00776DF1"/>
    <w:rsid w:val="007813B6"/>
    <w:rsid w:val="0078701D"/>
    <w:rsid w:val="0079352E"/>
    <w:rsid w:val="007B76CE"/>
    <w:rsid w:val="007C14FA"/>
    <w:rsid w:val="007C2D64"/>
    <w:rsid w:val="007C36A3"/>
    <w:rsid w:val="007C7A11"/>
    <w:rsid w:val="007D0C33"/>
    <w:rsid w:val="007D5844"/>
    <w:rsid w:val="007D7E4A"/>
    <w:rsid w:val="007E191F"/>
    <w:rsid w:val="007E2EDC"/>
    <w:rsid w:val="007F3101"/>
    <w:rsid w:val="007F633E"/>
    <w:rsid w:val="007F6ED5"/>
    <w:rsid w:val="00803037"/>
    <w:rsid w:val="0081103C"/>
    <w:rsid w:val="00811056"/>
    <w:rsid w:val="00816D7D"/>
    <w:rsid w:val="008246F4"/>
    <w:rsid w:val="0082554C"/>
    <w:rsid w:val="00825C9E"/>
    <w:rsid w:val="00831BF9"/>
    <w:rsid w:val="00831D82"/>
    <w:rsid w:val="00834AD1"/>
    <w:rsid w:val="00836204"/>
    <w:rsid w:val="00841E0F"/>
    <w:rsid w:val="00845F20"/>
    <w:rsid w:val="00847763"/>
    <w:rsid w:val="00850109"/>
    <w:rsid w:val="00857198"/>
    <w:rsid w:val="00865F1F"/>
    <w:rsid w:val="00871794"/>
    <w:rsid w:val="00874720"/>
    <w:rsid w:val="00875CA1"/>
    <w:rsid w:val="00887EE2"/>
    <w:rsid w:val="008A4884"/>
    <w:rsid w:val="008B2275"/>
    <w:rsid w:val="008B6ACC"/>
    <w:rsid w:val="008C0CB7"/>
    <w:rsid w:val="008C252E"/>
    <w:rsid w:val="008C5F2D"/>
    <w:rsid w:val="008D10F2"/>
    <w:rsid w:val="008D18C8"/>
    <w:rsid w:val="008D34CE"/>
    <w:rsid w:val="008D3664"/>
    <w:rsid w:val="008D698E"/>
    <w:rsid w:val="008E36D7"/>
    <w:rsid w:val="008E51D5"/>
    <w:rsid w:val="008E5D83"/>
    <w:rsid w:val="008E626A"/>
    <w:rsid w:val="008F3D94"/>
    <w:rsid w:val="008F609C"/>
    <w:rsid w:val="008F6545"/>
    <w:rsid w:val="00901987"/>
    <w:rsid w:val="00905224"/>
    <w:rsid w:val="00915792"/>
    <w:rsid w:val="00915AAE"/>
    <w:rsid w:val="00923112"/>
    <w:rsid w:val="009238DD"/>
    <w:rsid w:val="00932BE3"/>
    <w:rsid w:val="009341FA"/>
    <w:rsid w:val="0094089E"/>
    <w:rsid w:val="00950131"/>
    <w:rsid w:val="00952983"/>
    <w:rsid w:val="009648E1"/>
    <w:rsid w:val="009735AD"/>
    <w:rsid w:val="00974314"/>
    <w:rsid w:val="009765AB"/>
    <w:rsid w:val="00976F74"/>
    <w:rsid w:val="00977337"/>
    <w:rsid w:val="009838D9"/>
    <w:rsid w:val="009909FB"/>
    <w:rsid w:val="00991860"/>
    <w:rsid w:val="00993EFE"/>
    <w:rsid w:val="009A3196"/>
    <w:rsid w:val="009A35D1"/>
    <w:rsid w:val="009A4468"/>
    <w:rsid w:val="009A6AC5"/>
    <w:rsid w:val="009C114E"/>
    <w:rsid w:val="009C15EB"/>
    <w:rsid w:val="009C2918"/>
    <w:rsid w:val="009C777A"/>
    <w:rsid w:val="009E4387"/>
    <w:rsid w:val="009E64C1"/>
    <w:rsid w:val="009F301C"/>
    <w:rsid w:val="00A05C31"/>
    <w:rsid w:val="00A07CD1"/>
    <w:rsid w:val="00A07E05"/>
    <w:rsid w:val="00A148FE"/>
    <w:rsid w:val="00A163DB"/>
    <w:rsid w:val="00A2071B"/>
    <w:rsid w:val="00A25229"/>
    <w:rsid w:val="00A274C7"/>
    <w:rsid w:val="00A27AC4"/>
    <w:rsid w:val="00A31331"/>
    <w:rsid w:val="00A339CD"/>
    <w:rsid w:val="00A33F63"/>
    <w:rsid w:val="00A34DEB"/>
    <w:rsid w:val="00A36280"/>
    <w:rsid w:val="00A377AB"/>
    <w:rsid w:val="00A50277"/>
    <w:rsid w:val="00A544B7"/>
    <w:rsid w:val="00A55587"/>
    <w:rsid w:val="00A565D5"/>
    <w:rsid w:val="00A67AD7"/>
    <w:rsid w:val="00A7438E"/>
    <w:rsid w:val="00A75A7F"/>
    <w:rsid w:val="00A75F3C"/>
    <w:rsid w:val="00A820D8"/>
    <w:rsid w:val="00A8279E"/>
    <w:rsid w:val="00A865E7"/>
    <w:rsid w:val="00AB2182"/>
    <w:rsid w:val="00AB2ED3"/>
    <w:rsid w:val="00AC24E3"/>
    <w:rsid w:val="00AC3ABD"/>
    <w:rsid w:val="00AC7190"/>
    <w:rsid w:val="00AD624A"/>
    <w:rsid w:val="00AE1B59"/>
    <w:rsid w:val="00AE2826"/>
    <w:rsid w:val="00AE5EF7"/>
    <w:rsid w:val="00AE6D90"/>
    <w:rsid w:val="00AE7C34"/>
    <w:rsid w:val="00AF1A06"/>
    <w:rsid w:val="00AF421E"/>
    <w:rsid w:val="00B043A4"/>
    <w:rsid w:val="00B055D8"/>
    <w:rsid w:val="00B10E3F"/>
    <w:rsid w:val="00B16CAB"/>
    <w:rsid w:val="00B21E9B"/>
    <w:rsid w:val="00B33BD5"/>
    <w:rsid w:val="00B503BC"/>
    <w:rsid w:val="00B50A6C"/>
    <w:rsid w:val="00B572C5"/>
    <w:rsid w:val="00B57DEF"/>
    <w:rsid w:val="00B73ADE"/>
    <w:rsid w:val="00B74427"/>
    <w:rsid w:val="00B76263"/>
    <w:rsid w:val="00B84C95"/>
    <w:rsid w:val="00B92D82"/>
    <w:rsid w:val="00B9375E"/>
    <w:rsid w:val="00BA449A"/>
    <w:rsid w:val="00BB62D6"/>
    <w:rsid w:val="00BB647C"/>
    <w:rsid w:val="00BC4706"/>
    <w:rsid w:val="00BD0843"/>
    <w:rsid w:val="00BE4AAC"/>
    <w:rsid w:val="00BE5691"/>
    <w:rsid w:val="00BE79E9"/>
    <w:rsid w:val="00BE7DDE"/>
    <w:rsid w:val="00BF3731"/>
    <w:rsid w:val="00BF6946"/>
    <w:rsid w:val="00BF74E0"/>
    <w:rsid w:val="00C004B9"/>
    <w:rsid w:val="00C01713"/>
    <w:rsid w:val="00C03B9C"/>
    <w:rsid w:val="00C03CAC"/>
    <w:rsid w:val="00C03DFF"/>
    <w:rsid w:val="00C054E8"/>
    <w:rsid w:val="00C0619A"/>
    <w:rsid w:val="00C223C0"/>
    <w:rsid w:val="00C2270C"/>
    <w:rsid w:val="00C265DE"/>
    <w:rsid w:val="00C310DE"/>
    <w:rsid w:val="00C32F14"/>
    <w:rsid w:val="00C36A29"/>
    <w:rsid w:val="00C42AFB"/>
    <w:rsid w:val="00C44FC0"/>
    <w:rsid w:val="00C461EC"/>
    <w:rsid w:val="00C5593B"/>
    <w:rsid w:val="00C60EEE"/>
    <w:rsid w:val="00C61426"/>
    <w:rsid w:val="00C70753"/>
    <w:rsid w:val="00C70BE4"/>
    <w:rsid w:val="00C7104A"/>
    <w:rsid w:val="00C713A3"/>
    <w:rsid w:val="00C76D52"/>
    <w:rsid w:val="00C77100"/>
    <w:rsid w:val="00C8537D"/>
    <w:rsid w:val="00C90817"/>
    <w:rsid w:val="00C92675"/>
    <w:rsid w:val="00C92A3F"/>
    <w:rsid w:val="00C9454A"/>
    <w:rsid w:val="00C95C3E"/>
    <w:rsid w:val="00C9773C"/>
    <w:rsid w:val="00CA5882"/>
    <w:rsid w:val="00CB0AEC"/>
    <w:rsid w:val="00CB5C47"/>
    <w:rsid w:val="00CB5E6A"/>
    <w:rsid w:val="00CB5FD8"/>
    <w:rsid w:val="00CC446E"/>
    <w:rsid w:val="00CC6F6F"/>
    <w:rsid w:val="00CD0C9F"/>
    <w:rsid w:val="00CE22D8"/>
    <w:rsid w:val="00CE6CE1"/>
    <w:rsid w:val="00D00FFC"/>
    <w:rsid w:val="00D0173B"/>
    <w:rsid w:val="00D1499A"/>
    <w:rsid w:val="00D26C9B"/>
    <w:rsid w:val="00D36A7E"/>
    <w:rsid w:val="00D56A75"/>
    <w:rsid w:val="00D609FF"/>
    <w:rsid w:val="00D70267"/>
    <w:rsid w:val="00D74A15"/>
    <w:rsid w:val="00D759ED"/>
    <w:rsid w:val="00D77A52"/>
    <w:rsid w:val="00D94ABE"/>
    <w:rsid w:val="00DA2FF6"/>
    <w:rsid w:val="00DA6489"/>
    <w:rsid w:val="00DB4CA3"/>
    <w:rsid w:val="00DB673F"/>
    <w:rsid w:val="00DC34C0"/>
    <w:rsid w:val="00DC4495"/>
    <w:rsid w:val="00DD0D84"/>
    <w:rsid w:val="00DE5B9E"/>
    <w:rsid w:val="00DE7400"/>
    <w:rsid w:val="00DF1665"/>
    <w:rsid w:val="00DF6BB9"/>
    <w:rsid w:val="00E018CA"/>
    <w:rsid w:val="00E0378D"/>
    <w:rsid w:val="00E04443"/>
    <w:rsid w:val="00E12FC1"/>
    <w:rsid w:val="00E177CE"/>
    <w:rsid w:val="00E262F6"/>
    <w:rsid w:val="00E3472F"/>
    <w:rsid w:val="00E35D6E"/>
    <w:rsid w:val="00E47DA9"/>
    <w:rsid w:val="00E521CC"/>
    <w:rsid w:val="00E552BD"/>
    <w:rsid w:val="00E6432C"/>
    <w:rsid w:val="00E668FE"/>
    <w:rsid w:val="00E66C7D"/>
    <w:rsid w:val="00E74B91"/>
    <w:rsid w:val="00E80E46"/>
    <w:rsid w:val="00E81DE0"/>
    <w:rsid w:val="00E82639"/>
    <w:rsid w:val="00E97C75"/>
    <w:rsid w:val="00EA2664"/>
    <w:rsid w:val="00EB008D"/>
    <w:rsid w:val="00EC4D5D"/>
    <w:rsid w:val="00ED0D0C"/>
    <w:rsid w:val="00ED2FBC"/>
    <w:rsid w:val="00ED7AED"/>
    <w:rsid w:val="00EF5C9C"/>
    <w:rsid w:val="00EF783E"/>
    <w:rsid w:val="00F05009"/>
    <w:rsid w:val="00F212B1"/>
    <w:rsid w:val="00F247CA"/>
    <w:rsid w:val="00F31C35"/>
    <w:rsid w:val="00F3365C"/>
    <w:rsid w:val="00F35850"/>
    <w:rsid w:val="00F35B09"/>
    <w:rsid w:val="00F369BE"/>
    <w:rsid w:val="00F41A21"/>
    <w:rsid w:val="00F43EE8"/>
    <w:rsid w:val="00F45355"/>
    <w:rsid w:val="00F460CC"/>
    <w:rsid w:val="00F60799"/>
    <w:rsid w:val="00F6083F"/>
    <w:rsid w:val="00F64956"/>
    <w:rsid w:val="00F64A3A"/>
    <w:rsid w:val="00F67227"/>
    <w:rsid w:val="00F70125"/>
    <w:rsid w:val="00F83114"/>
    <w:rsid w:val="00F85F77"/>
    <w:rsid w:val="00F8643A"/>
    <w:rsid w:val="00F97782"/>
    <w:rsid w:val="00F97E08"/>
    <w:rsid w:val="00FB09AE"/>
    <w:rsid w:val="00FB4BB9"/>
    <w:rsid w:val="00FC2938"/>
    <w:rsid w:val="00FC39CB"/>
    <w:rsid w:val="00FC5BB5"/>
    <w:rsid w:val="00FC6E9F"/>
    <w:rsid w:val="00FE073E"/>
    <w:rsid w:val="00FF123A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paragraph" w:styleId="Zkladntext3">
    <w:name w:val="Body Text 3"/>
    <w:basedOn w:val="Normln"/>
    <w:link w:val="Zkladntext3Char"/>
    <w:unhideWhenUsed/>
    <w:rsid w:val="001D12B3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rsid w:val="001D12B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styleId="Zstupntext">
    <w:name w:val="Placeholder Text"/>
    <w:basedOn w:val="Standardnpsmoodstavce"/>
    <w:uiPriority w:val="99"/>
    <w:semiHidden/>
    <w:rsid w:val="005D3754"/>
    <w:rPr>
      <w:color w:val="808080"/>
    </w:rPr>
  </w:style>
  <w:style w:type="paragraph" w:customStyle="1" w:styleId="paragraph">
    <w:name w:val="paragraph"/>
    <w:basedOn w:val="Normln"/>
    <w:rsid w:val="009E4387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9E4387"/>
  </w:style>
  <w:style w:type="character" w:customStyle="1" w:styleId="eop">
    <w:name w:val="eop"/>
    <w:basedOn w:val="Standardnpsmoodstavce"/>
    <w:rsid w:val="009E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F31F-6D31-4B11-827B-CDCD02BA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3061</TotalTime>
  <Pages>3</Pages>
  <Words>1032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Vančurová Petra</cp:lastModifiedBy>
  <cp:revision>241</cp:revision>
  <cp:lastPrinted>2019-04-01T06:07:00Z</cp:lastPrinted>
  <dcterms:created xsi:type="dcterms:W3CDTF">2019-06-11T06:27:00Z</dcterms:created>
  <dcterms:modified xsi:type="dcterms:W3CDTF">2021-05-10T14:11:00Z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VANA.JAKUB@kr-jihomoravsky.cz</vt:lpwstr>
  </property>
  <property fmtid="{D5CDD505-2E9C-101B-9397-08002B2CF9AE}" pid="5" name="MSIP_Label_690ebb53-23a2-471a-9c6e-17bd0d11311e_SetDate">
    <vt:lpwstr>2019-06-11T06:27:25.5994289Z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