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Smlouva o provedení divadelního představení</w:t>
      </w:r>
    </w:p>
    <w:p w:rsidR="00000000" w:rsidDel="00000000" w:rsidP="00000000" w:rsidRDefault="00000000" w:rsidRPr="00000000" w14:paraId="00000003">
      <w:pPr>
        <w:pStyle w:val="Title"/>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uzavřená podle § 1746 odst. 2 zákona č. 89/2012 Sb., občanský zákoník, </w:t>
      </w:r>
    </w:p>
    <w:p w:rsidR="00000000" w:rsidDel="00000000" w:rsidP="00000000" w:rsidRDefault="00000000" w:rsidRPr="00000000" w14:paraId="00000004">
      <w:pPr>
        <w:pStyle w:val="Title"/>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ve znění pozdějších předpisů mezi těmito subjekty:</w:t>
      </w: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Smluvní strany:</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Moravské divadlo Olomouc, příspěvková organizace</w:t>
      </w: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třída Svobody 33, 779 00 Olomouc</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Zápis ve veřejném rejstříku, vedeném Krajským soudem v Ostravě, oddíl Pr, vložka 989</w:t>
      </w:r>
      <w:r w:rsidDel="00000000" w:rsidR="00000000" w:rsidRPr="00000000">
        <w:rPr>
          <w:rFonts w:ascii="Calibri" w:cs="Calibri" w:eastAsia="Calibri" w:hAnsi="Calibri"/>
          <w:sz w:val="22"/>
          <w:szCs w:val="22"/>
          <w:rtl w:val="0"/>
        </w:rPr>
        <w:br w:type="textWrapping"/>
        <w:t xml:space="preserve">Zastoupená: Ing. Davidem Gernešem, ředitelem</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Kontaktní osoba: Mgr. Veronika Hessová, vedoucí správy uměleckého provozu, tel: 734 725 956, e-mail: </w:t>
      </w:r>
      <w:hyperlink r:id="rId7">
        <w:r w:rsidDel="00000000" w:rsidR="00000000" w:rsidRPr="00000000">
          <w:rPr>
            <w:rFonts w:ascii="Calibri" w:cs="Calibri" w:eastAsia="Calibri" w:hAnsi="Calibri"/>
            <w:color w:val="0000ff"/>
            <w:sz w:val="22"/>
            <w:szCs w:val="22"/>
            <w:u w:val="single"/>
            <w:rtl w:val="0"/>
          </w:rPr>
          <w:t xml:space="preserve">veronika.hessova@mdol.cz</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w:t>
      </w:r>
      <w:r w:rsidDel="00000000" w:rsidR="00000000" w:rsidRPr="00000000">
        <w:rPr>
          <w:rFonts w:ascii="Calibri" w:cs="Calibri" w:eastAsia="Calibri" w:hAnsi="Calibri"/>
          <w:color w:val="242122"/>
          <w:sz w:val="22"/>
          <w:szCs w:val="22"/>
          <w:highlight w:val="white"/>
          <w:rtl w:val="0"/>
        </w:rPr>
        <w:t xml:space="preserve">00100544</w:t>
      </w:r>
      <w:r w:rsidDel="00000000" w:rsidR="00000000" w:rsidRPr="00000000">
        <w:rPr>
          <w:rFonts w:ascii="Calibri" w:cs="Calibri" w:eastAsia="Calibri" w:hAnsi="Calibri"/>
          <w:sz w:val="22"/>
          <w:szCs w:val="22"/>
          <w:rtl w:val="0"/>
        </w:rPr>
        <w:br w:type="textWrapping"/>
        <w:t xml:space="preserve">DIČ: CZ</w:t>
      </w:r>
      <w:r w:rsidDel="00000000" w:rsidR="00000000" w:rsidRPr="00000000">
        <w:rPr>
          <w:rFonts w:ascii="Calibri" w:cs="Calibri" w:eastAsia="Calibri" w:hAnsi="Calibri"/>
          <w:color w:val="242122"/>
          <w:sz w:val="22"/>
          <w:szCs w:val="22"/>
          <w:highlight w:val="white"/>
          <w:rtl w:val="0"/>
        </w:rPr>
        <w:t xml:space="preserve">00100544</w:t>
      </w: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KB Olomouc</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Číslo účtu: </w:t>
      </w:r>
      <w:r w:rsidDel="00000000" w:rsidR="00000000" w:rsidRPr="00000000">
        <w:rPr>
          <w:rFonts w:ascii="Calibri" w:cs="Calibri" w:eastAsia="Calibri" w:hAnsi="Calibri"/>
          <w:color w:val="242122"/>
          <w:sz w:val="22"/>
          <w:szCs w:val="22"/>
          <w:highlight w:val="white"/>
          <w:rtl w:val="0"/>
        </w:rPr>
        <w:t xml:space="preserve">331811/0100</w:t>
      </w: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(dále jen MDOL)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Národní divadlo Brno, příspěvková organizace</w:t>
      </w:r>
      <w:r w:rsidDel="00000000" w:rsidR="00000000" w:rsidRPr="00000000">
        <w:rPr>
          <w:rFonts w:ascii="Calibri" w:cs="Calibri" w:eastAsia="Calibri" w:hAnsi="Calibri"/>
          <w:sz w:val="22"/>
          <w:szCs w:val="22"/>
          <w:rtl w:val="0"/>
        </w:rPr>
        <w:t xml:space="preserve"> </w:t>
        <w:br w:type="textWrapping"/>
        <w:t xml:space="preserve">Adresa: Dvořákova 11, 657 70 Brno</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Zastoupené MgA. Martinem Glaserem, ředitelem</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Zástupce oprávněný k jednání: MgA. Mário Radačovský, šéf uměleckého souboru baletu</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Kontaktní osoba: MgA. Markéta Štefanová, produkce baletu, tel: 702 252 120, e-mail: </w:t>
      </w:r>
      <w:hyperlink r:id="rId8">
        <w:r w:rsidDel="00000000" w:rsidR="00000000" w:rsidRPr="00000000">
          <w:rPr>
            <w:rFonts w:ascii="Calibri" w:cs="Calibri" w:eastAsia="Calibri" w:hAnsi="Calibri"/>
            <w:color w:val="0000ff"/>
            <w:sz w:val="22"/>
            <w:szCs w:val="22"/>
            <w:u w:val="single"/>
            <w:rtl w:val="0"/>
          </w:rPr>
          <w:t xml:space="preserve">stefanova@ndb.cz</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00094820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CZ00094820</w:t>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Obch. rejstřík KS v Brně, oddíl Pr., vložka 30</w:t>
      </w: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UniCredit Bank, účet č.: 2110126623 / 2700</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sz w:val="22"/>
          <w:szCs w:val="22"/>
          <w:rtl w:val="0"/>
        </w:rPr>
        <w:t xml:space="preserve">(dále jako NdB)</w:t>
      </w:r>
      <w:r w:rsidDel="00000000" w:rsidR="00000000" w:rsidRPr="00000000">
        <w:rPr>
          <w:rtl w:val="0"/>
        </w:rPr>
      </w:r>
    </w:p>
    <w:p w:rsidR="00000000" w:rsidDel="00000000" w:rsidP="00000000" w:rsidRDefault="00000000" w:rsidRPr="00000000" w14:paraId="0000001D">
      <w:pP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ind w:left="36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w:t>
      </w:r>
    </w:p>
    <w:p w:rsidR="00000000" w:rsidDel="00000000" w:rsidP="00000000" w:rsidRDefault="00000000" w:rsidRPr="00000000" w14:paraId="00000020">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Předmět smlouvy</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MDOL odehraje pro NdB v rámci festivalu DANCE BRNO 2021 jedno představení baletu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„Giselle“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choreografii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Michala Štípy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 doprovodu živého orchestru MD Olomouc,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dne 22. 10. 2021 v 19 hodin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Mahenově divadle v Brně</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NdB se zavazuje zaplatit hostujícímu souboru odměnu za výše uvedenou inscenaci v souladu s touto smlouvou.</w:t>
      </w:r>
    </w:p>
    <w:p w:rsidR="00000000" w:rsidDel="00000000" w:rsidP="00000000" w:rsidRDefault="00000000" w:rsidRPr="00000000" w14:paraId="0000002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MDOL poskytuje svá plnění z této smlouvy na vlastní náklady a odpovědnost.</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II.</w:t>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Fonts w:ascii="Calibri" w:cs="Calibri" w:eastAsia="Calibri" w:hAnsi="Calibri"/>
          <w:b w:val="1"/>
          <w:rtl w:val="0"/>
        </w:rPr>
        <w:t xml:space="preserve">Cena a platební podmínky</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provedené představení uhradí NdB ve prospěch MDOL sjednanou odměnu ve výši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135 000,- Kč osvobozeno od DPH dle § 61 písm. e) zákona č. 235/2004 Sb.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Náklady spojené s hostováním zejména náklady na dopravu souboru, přepravu dekorací a kostýmů, diety, autorská, hudební práva a autorské odměny vztahující se k výše uvedenému představení hradí MDOL. Za účelem úhrady autorský práv poskytne NdB potřebné informace MDOL, a to do 5 pracovních dnů od odehrání představení. </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1584"/>
          <w:tab w:val="left" w:pos="9216"/>
          <w:tab w:val="left" w:pos="783"/>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Odměna za představení bude uhrazena MDOL na základě faktury vystavené po provedeném představení. Splatnost faktury bude 14 dnů od doručení faktury NdB. Smlouva je podmíněna tím, že MDOL pro případ odeslání faktury e-mailem akceptuje svoji povinnost si nechat potvrdit doručení faktury ze strany NdB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1584"/>
          <w:tab w:val="left" w:pos="9216"/>
          <w:tab w:val="left" w:pos="783"/>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Tržby za představení náleží NdB. </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1584"/>
          <w:tab w:val="left" w:pos="9216"/>
          <w:tab w:val="left" w:pos="783"/>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NdB poskytne MDOL 5 ks volných vstupenek na představení dle Čl. I. sml. za účelem kontroly plnění podle smlouvy.</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rPr>
      </w:pPr>
      <w:r w:rsidDel="00000000" w:rsidR="00000000" w:rsidRPr="00000000">
        <w:rPr>
          <w:rFonts w:ascii="Calibri" w:cs="Calibri" w:eastAsia="Calibri" w:hAnsi="Calibri"/>
          <w:b w:val="1"/>
          <w:rtl w:val="0"/>
        </w:rPr>
        <w:t xml:space="preserve">III.</w:t>
      </w:r>
    </w:p>
    <w:p w:rsidR="00000000" w:rsidDel="00000000" w:rsidP="00000000" w:rsidRDefault="00000000" w:rsidRPr="00000000" w14:paraId="0000002E">
      <w:pPr>
        <w:jc w:val="center"/>
        <w:rPr>
          <w:rFonts w:ascii="Calibri" w:cs="Calibri" w:eastAsia="Calibri" w:hAnsi="Calibri"/>
          <w:b w:val="1"/>
        </w:rPr>
      </w:pPr>
      <w:r w:rsidDel="00000000" w:rsidR="00000000" w:rsidRPr="00000000">
        <w:rPr>
          <w:rFonts w:ascii="Calibri" w:cs="Calibri" w:eastAsia="Calibri" w:hAnsi="Calibri"/>
          <w:b w:val="1"/>
          <w:rtl w:val="0"/>
        </w:rPr>
        <w:t xml:space="preserve">Povinnosti smluvních stran</w:t>
      </w:r>
    </w:p>
    <w:p w:rsidR="00000000" w:rsidDel="00000000" w:rsidP="00000000" w:rsidRDefault="00000000" w:rsidRPr="00000000" w14:paraId="0000002F">
      <w:pPr>
        <w:numPr>
          <w:ilvl w:val="0"/>
          <w:numId w:val="1"/>
        </w:numPr>
        <w:ind w:left="360" w:hanging="36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Povinnosti NdB:</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NdB zajistí organizační a technické podmínky pro technickou přípravu, zkoušku a provedení divadelního představení na scéně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Mahenova divadla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Brně (bude upřesněno harmonogramem, dohodnutým oběma stranami před začátkem akce):</w:t>
      </w:r>
    </w:p>
    <w:p w:rsidR="00000000" w:rsidDel="00000000" w:rsidP="00000000" w:rsidRDefault="00000000" w:rsidRPr="00000000" w14:paraId="00000031">
      <w:pPr>
        <w:ind w:left="709"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dne </w:t>
      </w:r>
      <w:r w:rsidDel="00000000" w:rsidR="00000000" w:rsidRPr="00000000">
        <w:rPr>
          <w:rFonts w:ascii="Calibri" w:cs="Calibri" w:eastAsia="Calibri" w:hAnsi="Calibri"/>
          <w:b w:val="1"/>
          <w:sz w:val="22"/>
          <w:szCs w:val="22"/>
          <w:rtl w:val="0"/>
        </w:rPr>
        <w:t xml:space="preserve">21. 10. 2021:</w:t>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technická a světelná příprava – od 11:00 do 22:00,</w:t>
      </w:r>
    </w:p>
    <w:p w:rsidR="00000000" w:rsidDel="00000000" w:rsidP="00000000" w:rsidRDefault="00000000" w:rsidRPr="00000000" w14:paraId="00000033">
      <w:pPr>
        <w:ind w:left="709"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dne </w:t>
      </w:r>
      <w:r w:rsidDel="00000000" w:rsidR="00000000" w:rsidRPr="00000000">
        <w:rPr>
          <w:rFonts w:ascii="Calibri" w:cs="Calibri" w:eastAsia="Calibri" w:hAnsi="Calibri"/>
          <w:b w:val="1"/>
          <w:sz w:val="22"/>
          <w:szCs w:val="22"/>
          <w:rtl w:val="0"/>
        </w:rPr>
        <w:t xml:space="preserve">22. 10. 2021:</w:t>
      </w:r>
    </w:p>
    <w:p w:rsidR="00000000" w:rsidDel="00000000" w:rsidP="00000000" w:rsidRDefault="00000000" w:rsidRPr="00000000" w14:paraId="00000034">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zkoušky a představení – od 9.00 do 22:00,</w:t>
      </w:r>
    </w:p>
    <w:p w:rsidR="00000000" w:rsidDel="00000000" w:rsidP="00000000" w:rsidRDefault="00000000" w:rsidRPr="00000000" w14:paraId="00000035">
      <w:pPr>
        <w:numPr>
          <w:ilvl w:val="0"/>
          <w:numId w:val="3"/>
        </w:numPr>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poskytne divadelní prostor schopný produkce, včetně jeviště a šaten (pro tanečníky, baletní mistry a inspici, techniku, garderobu a maskérky, orchestr),                     </w:t>
      </w:r>
    </w:p>
    <w:p w:rsidR="00000000" w:rsidDel="00000000" w:rsidP="00000000" w:rsidRDefault="00000000" w:rsidRPr="00000000" w14:paraId="00000036">
      <w:pPr>
        <w:numPr>
          <w:ilvl w:val="0"/>
          <w:numId w:val="3"/>
        </w:numPr>
        <w:ind w:left="709"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umožní parkování pro </w:t>
      </w:r>
      <w:r w:rsidDel="00000000" w:rsidR="00000000" w:rsidRPr="00000000">
        <w:rPr>
          <w:rFonts w:ascii="Calibri" w:cs="Calibri" w:eastAsia="Calibri" w:hAnsi="Calibri"/>
          <w:sz w:val="22"/>
          <w:szCs w:val="22"/>
          <w:rtl w:val="0"/>
        </w:rPr>
        <w:t xml:space="preserve">jedno nákladní auto zn. MAN (21. 10. – 22. 10. 2021) po dobu přípravy za účelem vyložení a naložení techniky a dekorací potřebných pro realizaci představení,</w:t>
      </w:r>
    </w:p>
    <w:p w:rsidR="00000000" w:rsidDel="00000000" w:rsidP="00000000" w:rsidRDefault="00000000" w:rsidRPr="00000000" w14:paraId="00000037">
      <w:pPr>
        <w:numPr>
          <w:ilvl w:val="0"/>
          <w:numId w:val="3"/>
        </w:numPr>
        <w:ind w:left="709"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zajistí parkování pro dva autobusy (22. 10. 2021) pro hostující soubor,</w:t>
      </w:r>
    </w:p>
    <w:p w:rsidR="00000000" w:rsidDel="00000000" w:rsidP="00000000" w:rsidRDefault="00000000" w:rsidRPr="00000000" w14:paraId="00000038">
      <w:pPr>
        <w:numPr>
          <w:ilvl w:val="0"/>
          <w:numId w:val="3"/>
        </w:numPr>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zabezpečení požadavků osvětlení / jevištní techniky divadla, v souladu s technickými a technologickými možnostmi NdB,</w:t>
      </w:r>
    </w:p>
    <w:p w:rsidR="00000000" w:rsidDel="00000000" w:rsidP="00000000" w:rsidRDefault="00000000" w:rsidRPr="00000000" w14:paraId="00000039">
      <w:pPr>
        <w:numPr>
          <w:ilvl w:val="0"/>
          <w:numId w:val="3"/>
        </w:numPr>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poskytne potřebného počtu osob pro obsluhu jevištní techniky,</w:t>
      </w:r>
    </w:p>
    <w:p w:rsidR="00000000" w:rsidDel="00000000" w:rsidP="00000000" w:rsidRDefault="00000000" w:rsidRPr="00000000" w14:paraId="0000003A">
      <w:pPr>
        <w:numPr>
          <w:ilvl w:val="0"/>
          <w:numId w:val="3"/>
        </w:numPr>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zajistí vodu 1,5 l pro každého z tanečníků, techniky a orchestru a drobné občerstvení do šaten.</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NdB se zavazuje provést propagaci výše uvedené inscenace. MDOL co nejdříve poskytne materiály, které mají být použity pro tyto účely. </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NdB si vyhrazuje právo použít k propagaci inscenace svůj vlastní vizuální styl, spojený s celkovou propagací festivalu DANCE BRNO 2021. Všechny propagační materiály budou zaslány MDOL před zveřejněním ke schválení.</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1"/>
        </w:numPr>
        <w:spacing w:before="120" w:lineRule="auto"/>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Povinnosti MDOL</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F">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MDOL se zavazuje provést představení v dohodnutém termínu a v plné umělecké a technické úrovni, odpovídající možnostem vybavení jeviště v místě konání představení dle čl. I. smlouvy.</w:t>
      </w:r>
    </w:p>
    <w:p w:rsidR="00000000" w:rsidDel="00000000" w:rsidP="00000000" w:rsidRDefault="00000000" w:rsidRPr="00000000" w14:paraId="00000040">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Šatny, které bude mít MDOL k dispozici, jsou uzamykatelné. Vedení MDOL je povinno poučit účinkující o nutnosti dbát na řádné uzamykání šaten, což je předpokladem pro předcházení riziku případných krádeží. NdB nenese zodpovědnost za případné krádeže v šatnách a prostorách šaten, pokud nebudou zamknuté.</w:t>
      </w:r>
    </w:p>
    <w:p w:rsidR="00000000" w:rsidDel="00000000" w:rsidP="00000000" w:rsidRDefault="00000000" w:rsidRPr="00000000" w14:paraId="00000041">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MDOL je povinno dbát na bezpečnost věcí a ostatních zařízení, které budou v souvislosti divadelním představení přineseny do divadelních prostor NdB, a bere na vědomí, že NdB nenese žádnou odpovědnost za případné škody na těchto věcech, pokud tyto nebudou způsobeny v souvislosti s činností NdB.</w:t>
      </w:r>
    </w:p>
    <w:p w:rsidR="00000000" w:rsidDel="00000000" w:rsidP="00000000" w:rsidRDefault="00000000" w:rsidRPr="00000000" w14:paraId="00000042">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MDOL se současně zavazuje zajistit prostřednictvím svého odpovědného pracovníka školení všech pracovníků a umělců hostujícího uměl. souboru dle přílohy č. 1. Za tím účelem se stává Příloha č. 1 „Školení požární ochrany a bezpečnosti práce pro hostující umělecké soubory v Národním divadle Brno, příspěvková organizace, Dvořákova 11, 657 70 Brno“ nedílnou součástí této smlouvy.</w:t>
      </w:r>
    </w:p>
    <w:p w:rsidR="00000000" w:rsidDel="00000000" w:rsidP="00000000" w:rsidRDefault="00000000" w:rsidRPr="00000000" w14:paraId="00000043">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MDOL přiveze vlastní programy, které bude NdB prodávat za předem dohodnutou cenu. Tržba z programů náleží MDOL a bude od NdB předána současně s neprodanými programy hotově po představení.</w:t>
      </w:r>
    </w:p>
    <w:p w:rsidR="00000000" w:rsidDel="00000000" w:rsidP="00000000" w:rsidRDefault="00000000" w:rsidRPr="00000000" w14:paraId="00000044">
      <w:pPr>
        <w:numPr>
          <w:ilvl w:val="0"/>
          <w:numId w:val="4"/>
        </w:numPr>
        <w:ind w:left="71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MDOL poskytne bezplatně 5 ks programů k uložení do archivu NdB.</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b w:val="1"/>
        </w:rPr>
      </w:pPr>
      <w:r w:rsidDel="00000000" w:rsidR="00000000" w:rsidRPr="00000000">
        <w:rPr>
          <w:rFonts w:ascii="Calibri" w:cs="Calibri" w:eastAsia="Calibri" w:hAnsi="Calibri"/>
          <w:b w:val="1"/>
          <w:rtl w:val="0"/>
        </w:rPr>
        <w:t xml:space="preserve">IV.</w:t>
      </w:r>
    </w:p>
    <w:p w:rsidR="00000000" w:rsidDel="00000000" w:rsidP="00000000" w:rsidRDefault="00000000" w:rsidRPr="00000000" w14:paraId="00000047">
      <w:pPr>
        <w:tabs>
          <w:tab w:val="left" w:pos="720"/>
        </w:tabs>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Nekonání a zrušení představení</w:t>
      </w:r>
    </w:p>
    <w:p w:rsidR="00000000" w:rsidDel="00000000" w:rsidP="00000000" w:rsidRDefault="00000000" w:rsidRPr="00000000" w14:paraId="00000048">
      <w:pPr>
        <w:numPr>
          <w:ilvl w:val="0"/>
          <w:numId w:val="5"/>
        </w:numPr>
        <w:tabs>
          <w:tab w:val="left" w:pos="108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Zrušení představení z vyšší moci (nepředvídatelná, přírodní katastrofa, úřední zákaz, atd.) dávají oběma stranám právo, po včasném, průkazném vyrozumění, od smlouvy odstoupit, nebo změnit její podmínky, a to bez jakýchkoli nároků na finanční úhradu škody.</w:t>
      </w:r>
    </w:p>
    <w:p w:rsidR="00000000" w:rsidDel="00000000" w:rsidP="00000000" w:rsidRDefault="00000000" w:rsidRPr="00000000" w14:paraId="00000049">
      <w:pPr>
        <w:numPr>
          <w:ilvl w:val="0"/>
          <w:numId w:val="5"/>
        </w:numPr>
        <w:tabs>
          <w:tab w:val="left" w:pos="1080"/>
        </w:tabs>
        <w:ind w:left="3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Smluvní strany berou na vědomí, že při realizaci baletních představení můžou vznikat situace způsobené následky „vis maior“ (např. omezení nebo zrušení představení vlivem vyhlášeného nouzového stavu, opatření k omezení epidemie nebo pandemie, povětrnostních podmínek, počasí, vandalské činy, stávka, hrozba teroristického činu apod.). V takovém případě se smluvní strany dohodnou na způsobu případných řešení podle reálných podmínek v daném případě (situaci).</w:t>
      </w:r>
      <w:r w:rsidDel="00000000" w:rsidR="00000000" w:rsidRPr="00000000">
        <w:rPr>
          <w:rtl w:val="0"/>
        </w:rPr>
      </w:r>
    </w:p>
    <w:p w:rsidR="00000000" w:rsidDel="00000000" w:rsidP="00000000" w:rsidRDefault="00000000" w:rsidRPr="00000000" w14:paraId="0000004A">
      <w:pPr>
        <w:numPr>
          <w:ilvl w:val="0"/>
          <w:numId w:val="5"/>
        </w:numPr>
        <w:tabs>
          <w:tab w:val="left" w:pos="108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Odřekne-li NdB vystoupení (kromě důvodů uvedených v odstavci 1. nebo 2.) později, než 14 dnů před termínem představení dle Čl. I. smlouvy, je povinen uhradit MDOL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prokazatelné výlohy a škody spojené s přípravou vystoupení, jestli takové MDOL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vznikly.</w:t>
      </w:r>
    </w:p>
    <w:p w:rsidR="00000000" w:rsidDel="00000000" w:rsidP="00000000" w:rsidRDefault="00000000" w:rsidRPr="00000000" w14:paraId="0000004B">
      <w:pPr>
        <w:numPr>
          <w:ilvl w:val="0"/>
          <w:numId w:val="5"/>
        </w:numPr>
        <w:tabs>
          <w:tab w:val="left" w:pos="108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Odřekne-li vystoupení MDOL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(kromě důvodů uvedených v odstavci 1. nebo 2.) později, než 14 dnů před termínem představení dle Čl. I. smlouvy, je povinno uhradit NdB prokazatelné výlohy a škody spojené s přípravou vystoupení.</w:t>
      </w:r>
    </w:p>
    <w:p w:rsidR="00000000" w:rsidDel="00000000" w:rsidP="00000000" w:rsidRDefault="00000000" w:rsidRPr="00000000" w14:paraId="0000004C">
      <w:pPr>
        <w:jc w:val="center"/>
        <w:rPr>
          <w:rFonts w:ascii="Calibri" w:cs="Calibri" w:eastAsia="Calibri" w:hAnsi="Calibri"/>
          <w:b w:val="1"/>
        </w:rPr>
      </w:pPr>
      <w:r w:rsidDel="00000000" w:rsidR="00000000" w:rsidRPr="00000000">
        <w:rPr>
          <w:rFonts w:ascii="Calibri" w:cs="Calibri" w:eastAsia="Calibri" w:hAnsi="Calibri"/>
          <w:b w:val="1"/>
          <w:rtl w:val="0"/>
        </w:rPr>
        <w:t xml:space="preserve">V. </w:t>
      </w:r>
    </w:p>
    <w:p w:rsidR="00000000" w:rsidDel="00000000" w:rsidP="00000000" w:rsidRDefault="00000000" w:rsidRPr="00000000" w14:paraId="0000004D">
      <w:pPr>
        <w:jc w:val="center"/>
        <w:rPr>
          <w:rFonts w:ascii="Calibri" w:cs="Calibri" w:eastAsia="Calibri" w:hAnsi="Calibri"/>
          <w:b w:val="1"/>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vstupuje v platnost dnem podpisu oběma smluvními stranami.</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Obě smluvní strany berou na vědomí, že smlouva nabývá účinnosti teprve jejím uveřejněním v registru smluv podle zákona č. 340/2015 Sb. (zákon o registru smluv) a souhlasí s uveřejněním této smlouvy v registru smluv v úplném znění. </w:t>
      </w:r>
    </w:p>
    <w:p w:rsidR="00000000" w:rsidDel="00000000" w:rsidP="00000000" w:rsidRDefault="00000000" w:rsidRPr="00000000" w14:paraId="00000050">
      <w:pPr>
        <w:numPr>
          <w:ilvl w:val="0"/>
          <w:numId w:val="2"/>
        </w:numPr>
        <w:ind w:left="357"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Smlouvu lze měnit a doplňovat pouze písemnými, postupně číslovanými dodatky, podepsanými oběma smluvními stranami.</w:t>
      </w:r>
    </w:p>
    <w:p w:rsidR="00000000" w:rsidDel="00000000" w:rsidP="00000000" w:rsidRDefault="00000000" w:rsidRPr="00000000" w14:paraId="00000051">
      <w:pPr>
        <w:numPr>
          <w:ilvl w:val="0"/>
          <w:numId w:val="2"/>
        </w:numPr>
        <w:ind w:left="357"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Tato smlouva je vyhotovena ve dvou exemplářích, přičemž každá smluvní strana obdrží jedno vyhotovení.</w:t>
      </w:r>
    </w:p>
    <w:p w:rsidR="00000000" w:rsidDel="00000000" w:rsidP="00000000" w:rsidRDefault="00000000" w:rsidRPr="00000000" w14:paraId="00000052">
      <w:pPr>
        <w:numPr>
          <w:ilvl w:val="0"/>
          <w:numId w:val="2"/>
        </w:numPr>
        <w:ind w:left="357"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důkaz souhlasu s obsahem této dohody připojují smluvní strany své podpisy.</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Seznam příloh:</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Příloha č. 1: Školení požární ochrany a bezpečnosti práce pro hostující umělecké soubory v Národním divadle Brno, příspěvková organizace, Dvořákova 11, 657 70 Brno</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 Olomouci dne:  </w:t>
        <w:tab/>
        <w:tab/>
        <w:tab/>
        <w:tab/>
        <w:tab/>
        <w:tab/>
        <w:t xml:space="preserve">V Brně dne:</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ab/>
        <w:tab/>
        <w:t xml:space="preserve">..……………………………............</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Ing. David Gerneš</w:t>
        <w:tab/>
        <w:tab/>
        <w:t xml:space="preserve"> </w:t>
        <w:tab/>
        <w:tab/>
        <w:tab/>
        <w:tab/>
        <w:t xml:space="preserve">MgA. Martin Glaser</w:t>
      </w:r>
    </w:p>
    <w:p w:rsidR="00000000" w:rsidDel="00000000" w:rsidP="00000000" w:rsidRDefault="00000000" w:rsidRPr="00000000" w14:paraId="0000005F">
      <w:pPr>
        <w:ind w:right="252"/>
        <w:rPr>
          <w:rFonts w:ascii="Calibri" w:cs="Calibri" w:eastAsia="Calibri" w:hAnsi="Calibri"/>
          <w:highlight w:val="green"/>
          <w:u w:val="single"/>
        </w:rPr>
      </w:pPr>
      <w:r w:rsidDel="00000000" w:rsidR="00000000" w:rsidRPr="00000000">
        <w:rPr>
          <w:rFonts w:ascii="Calibri" w:cs="Calibri" w:eastAsia="Calibri" w:hAnsi="Calibri"/>
          <w:rtl w:val="0"/>
        </w:rPr>
        <w:t xml:space="preserve">za Moravské divadlo Olomouc </w:t>
        <w:tab/>
        <w:tab/>
        <w:tab/>
        <w:tab/>
        <w:t xml:space="preserve">Národní divadlo Brno</w:t>
      </w:r>
      <w:r w:rsidDel="00000000" w:rsidR="00000000" w:rsidRPr="00000000">
        <w:rPr>
          <w:rtl w:val="0"/>
        </w:rPr>
      </w:r>
    </w:p>
    <w:p w:rsidR="00000000" w:rsidDel="00000000" w:rsidP="00000000" w:rsidRDefault="00000000" w:rsidRPr="00000000" w14:paraId="00000060">
      <w:pPr>
        <w:ind w:right="252"/>
        <w:rPr>
          <w:rFonts w:ascii="Calibri" w:cs="Calibri" w:eastAsia="Calibri" w:hAnsi="Calibri"/>
          <w:highlight w:val="green"/>
          <w:u w:val="single"/>
        </w:rPr>
      </w:pPr>
      <w:r w:rsidDel="00000000" w:rsidR="00000000" w:rsidRPr="00000000">
        <w:rPr>
          <w:rtl w:val="0"/>
        </w:rPr>
      </w:r>
    </w:p>
    <w:p w:rsidR="00000000" w:rsidDel="00000000" w:rsidP="00000000" w:rsidRDefault="00000000" w:rsidRPr="00000000" w14:paraId="00000061">
      <w:pPr>
        <w:ind w:right="252"/>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rFonts w:ascii="Calibri" w:cs="Calibri" w:eastAsia="Calibri" w:hAnsi="Calibri"/>
          <w:b w:val="1"/>
          <w:rtl w:val="0"/>
        </w:rPr>
        <w:t xml:space="preserve">Příloha č. 1</w:t>
      </w:r>
    </w:p>
    <w:p w:rsidR="00000000" w:rsidDel="00000000" w:rsidP="00000000" w:rsidRDefault="00000000" w:rsidRPr="00000000" w14:paraId="0000006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b w:val="1"/>
        </w:rPr>
      </w:pPr>
      <w:r w:rsidDel="00000000" w:rsidR="00000000" w:rsidRPr="00000000">
        <w:rPr>
          <w:rFonts w:ascii="Calibri" w:cs="Calibri" w:eastAsia="Calibri" w:hAnsi="Calibri"/>
          <w:b w:val="1"/>
          <w:rtl w:val="0"/>
        </w:rPr>
        <w:t xml:space="preserve">Školení požární ochrany a bezpečnosti práce pro hostující umělecké soubory v Národním divadle Brno, příspěvková organizace, Dvořákova 11,602 00Brno</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w:t>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Všichni hostující umělečtí pracovníci v NDB jsou v zájmu zajištění PO povinni:</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Počínat si při práci a jiné činnosti tak, aby nezapříčinili vznik požáru, dodržovat předpisy o PO a vydané příkazy, zákazy a pokyny týkající se PO. Seznámit se požárním řádem pracoviště, požárními poplachovými směrnicemi NdB a evakuačním plánem.</w:t>
      </w:r>
    </w:p>
    <w:p w:rsidR="00000000" w:rsidDel="00000000" w:rsidP="00000000" w:rsidRDefault="00000000" w:rsidRPr="00000000" w14:paraId="0000006A">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Zpozorovaný požár neprodleně uhasit dostupnými hasebními prostředky, není-li možné, neodkladně vyhlásit požární poplach a přivolat pomoc podle požárních poplachových směrnic. V objektech NdB se požár ohlašuje na vrátnici divadla, ohlašovně požáru. Při zamezování, zdolávání požáru a jiných živelných pohrom nebo nehod je každý na vyzvání velitele zásahu povinen poskytnout potřebnou osobní a věcnou pomoc (viz zákon 67/2001 Sb. § 18 a 19).</w:t>
      </w:r>
    </w:p>
    <w:p w:rsidR="00000000" w:rsidDel="00000000" w:rsidP="00000000" w:rsidRDefault="00000000" w:rsidRPr="00000000" w14:paraId="0000006B">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tab/>
        <w:t xml:space="preserve">Každý pracovník je povinen oznámit vznik každého požáru na pracovišti vedoucímu zaměstnanci nebo ohlašovně požáru.</w:t>
      </w:r>
    </w:p>
    <w:p w:rsidR="00000000" w:rsidDel="00000000" w:rsidP="00000000" w:rsidRDefault="00000000" w:rsidRPr="00000000" w14:paraId="0000006C">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Dbát na to, aby pracoviště po ukončení práce bylo v požárně bezpečném stavu, závady, které by mohly být příčinou vzniku požáru neodkladně hlásit vedoucímu pracovníkovi.</w:t>
      </w:r>
    </w:p>
    <w:p w:rsidR="00000000" w:rsidDel="00000000" w:rsidP="00000000" w:rsidRDefault="00000000" w:rsidRPr="00000000" w14:paraId="0000006D">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tab/>
      </w:r>
      <w:r w:rsidDel="00000000" w:rsidR="00000000" w:rsidRPr="00000000">
        <w:rPr>
          <w:rFonts w:ascii="Calibri" w:cs="Calibri" w:eastAsia="Calibri" w:hAnsi="Calibri"/>
          <w:b w:val="1"/>
          <w:sz w:val="22"/>
          <w:szCs w:val="22"/>
          <w:rtl w:val="0"/>
        </w:rPr>
        <w:t xml:space="preserve">V objektech NdB je přísný zákaz kouření.</w:t>
      </w:r>
      <w:r w:rsidDel="00000000" w:rsidR="00000000" w:rsidRPr="00000000">
        <w:rPr>
          <w:rFonts w:ascii="Calibri" w:cs="Calibri" w:eastAsia="Calibri" w:hAnsi="Calibri"/>
          <w:sz w:val="22"/>
          <w:szCs w:val="22"/>
          <w:rtl w:val="0"/>
        </w:rPr>
        <w:t xml:space="preserve"> Objekty jsou viditelně označeny bezpečnostní tabulkou „Zákaz kouření“. Vařiče nebo jiné spotřebiče, které nejsou v majetku NdB je v objektech NdB zakázáno používat.</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Všichni hostující umělečtí pracovníci v NDB jsou v zájmu BOZP povinni:</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Dodržovat právní předpisy k zajištění BOZP, s nimiž byli řádně seznámeni.</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Počínat si tak, aby neohrožovali své zdraví ani zdraví svých spolupracovníků.</w:t>
      </w:r>
    </w:p>
    <w:p w:rsidR="00000000" w:rsidDel="00000000" w:rsidP="00000000" w:rsidRDefault="00000000" w:rsidRPr="00000000" w14:paraId="00000075">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tab/>
        <w:t xml:space="preserve">Jakékoliv poranění správně ošetřit (lékárničky jsou umístěny v divadle) a oznámit ihned nejblíže nadřízenému vedoucímu zaměstnanci (inspicientovi), který provede zápis do „Hlášení z představení“.</w:t>
      </w:r>
    </w:p>
    <w:p w:rsidR="00000000" w:rsidDel="00000000" w:rsidP="00000000" w:rsidRDefault="00000000" w:rsidRPr="00000000" w14:paraId="00000076">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Nepoužívat alkoholické nápoje a neužívat jiné omamné prostředky na pracovištích NdB, nenastupovat pod jejich vlivem do práce a dodržovat stanovený zákaz kouření.</w:t>
      </w:r>
    </w:p>
    <w:p w:rsidR="00000000" w:rsidDel="00000000" w:rsidP="00000000" w:rsidRDefault="00000000" w:rsidRPr="00000000" w14:paraId="00000077">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tab/>
        <w:t xml:space="preserve">Neprovádět žádné práce na el. zařízeních, pokud k tomu pracovník nemá předepsanou kvalifikaci (vyhl. č. 50/1978 Sb.), přísně se omezit pouze na obsluhu strojů, přístrojů a zařízení k jejichž obsluze má pracovník oprávnění nebo poučení. Nesnímat kryty a samovolně zasahovat do živých částí, při poruše okamžitě stroj nebo zařízení vypnout a závadu oznámit vedoucímu zaměstnanci.</w:t>
      </w:r>
    </w:p>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6.</w:t>
        <w:tab/>
      </w:r>
      <w:r w:rsidDel="00000000" w:rsidR="00000000" w:rsidRPr="00000000">
        <w:rPr>
          <w:rFonts w:ascii="Calibri" w:cs="Calibri" w:eastAsia="Calibri" w:hAnsi="Calibri"/>
          <w:b w:val="1"/>
          <w:sz w:val="22"/>
          <w:szCs w:val="22"/>
          <w:rtl w:val="0"/>
        </w:rPr>
        <w:t xml:space="preserve">S elektrickým proudem mohou zacházet jen odborně způsobilé osoby.</w:t>
      </w:r>
    </w:p>
    <w:p w:rsidR="00000000" w:rsidDel="00000000" w:rsidP="00000000" w:rsidRDefault="00000000" w:rsidRPr="00000000" w14:paraId="00000079">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tab/>
        <w:t xml:space="preserve">Oznamovat svému nadřízenému nedostatky a závady, které by mohly ohrozit BOZP a podle svých možností se zúčastnit ne jejich odstraňování.</w:t>
      </w:r>
    </w:p>
    <w:p w:rsidR="00000000" w:rsidDel="00000000" w:rsidP="00000000" w:rsidRDefault="00000000" w:rsidRPr="00000000" w14:paraId="0000007A">
      <w:pPr>
        <w:ind w:left="708" w:hanging="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tab/>
        <w:t xml:space="preserve">Podrobit se vyšetření, které provádí vedoucí zaměstnanci NdB, bezpečností technik nebo orgán státní správy, aby zjistily, zda pracovníci nejsou pod vlivem alkoholu nebo jiných omamných látek.</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tab/>
        <w:t xml:space="preserve">Za provedení školení odpovídá určený pracovník hostujícího souboru: </w:t>
      </w:r>
      <w:r w:rsidDel="00000000" w:rsidR="00000000" w:rsidRPr="00000000">
        <w:rPr>
          <w:rFonts w:ascii="Calibri" w:cs="Calibri" w:eastAsia="Calibri" w:hAnsi="Calibri"/>
          <w:b w:val="1"/>
          <w:sz w:val="22"/>
          <w:szCs w:val="22"/>
          <w:rtl w:val="0"/>
        </w:rPr>
        <w:t xml:space="preserve">Veronika Hessová.</w:t>
      </w:r>
      <w:r w:rsidDel="00000000" w:rsidR="00000000" w:rsidRPr="00000000">
        <w:rPr>
          <w:rtl w:val="0"/>
        </w:rPr>
      </w:r>
    </w:p>
    <w:sectPr>
      <w:headerReference r:id="rId9" w:type="default"/>
      <w:footerReference r:id="rId10" w:type="default"/>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topMargin">
            <wp:posOffset>624840</wp:posOffset>
          </wp:positionV>
          <wp:extent cx="4282440" cy="640715"/>
          <wp:effectExtent b="0" l="0" r="0" t="0"/>
          <wp:wrapTopAndBottom distB="0" distT="0"/>
          <wp:docPr descr="LOGO" id="2"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4282440" cy="640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09" w:hanging="359.99999999999994"/>
      </w:pPr>
      <w:rPr>
        <w:rFonts w:ascii="Times New Roman" w:cs="Times New Roman" w:eastAsia="Times New Roman" w:hAnsi="Times New Roman"/>
      </w:rPr>
    </w:lvl>
    <w:lvl w:ilvl="1">
      <w:start w:val="1"/>
      <w:numFmt w:val="bullet"/>
      <w:lvlText w:val="o"/>
      <w:lvlJc w:val="left"/>
      <w:pPr>
        <w:ind w:left="1429" w:hanging="360"/>
      </w:pPr>
      <w:rPr>
        <w:rFonts w:ascii="Courier New" w:cs="Courier New" w:eastAsia="Courier New" w:hAnsi="Courier New"/>
      </w:rPr>
    </w:lvl>
    <w:lvl w:ilvl="2">
      <w:start w:val="1"/>
      <w:numFmt w:val="bullet"/>
      <w:lvlText w:val="▪"/>
      <w:lvlJc w:val="left"/>
      <w:pPr>
        <w:ind w:left="2149" w:hanging="360"/>
      </w:pPr>
      <w:rPr>
        <w:rFonts w:ascii="Noto Sans Symbols" w:cs="Noto Sans Symbols" w:eastAsia="Noto Sans Symbols" w:hAnsi="Noto Sans Symbols"/>
      </w:rPr>
    </w:lvl>
    <w:lvl w:ilvl="3">
      <w:start w:val="1"/>
      <w:numFmt w:val="bullet"/>
      <w:lvlText w:val="●"/>
      <w:lvlJc w:val="left"/>
      <w:pPr>
        <w:ind w:left="2869" w:hanging="360"/>
      </w:pPr>
      <w:rPr>
        <w:rFonts w:ascii="Noto Sans Symbols" w:cs="Noto Sans Symbols" w:eastAsia="Noto Sans Symbols" w:hAnsi="Noto Sans Symbols"/>
      </w:rPr>
    </w:lvl>
    <w:lvl w:ilvl="4">
      <w:start w:val="1"/>
      <w:numFmt w:val="bullet"/>
      <w:lvlText w:val="o"/>
      <w:lvlJc w:val="left"/>
      <w:pPr>
        <w:ind w:left="3589" w:hanging="360"/>
      </w:pPr>
      <w:rPr>
        <w:rFonts w:ascii="Courier New" w:cs="Courier New" w:eastAsia="Courier New" w:hAnsi="Courier New"/>
      </w:rPr>
    </w:lvl>
    <w:lvl w:ilvl="5">
      <w:start w:val="1"/>
      <w:numFmt w:val="bullet"/>
      <w:lvlText w:val="▪"/>
      <w:lvlJc w:val="left"/>
      <w:pPr>
        <w:ind w:left="4309" w:hanging="360"/>
      </w:pPr>
      <w:rPr>
        <w:rFonts w:ascii="Noto Sans Symbols" w:cs="Noto Sans Symbols" w:eastAsia="Noto Sans Symbols" w:hAnsi="Noto Sans Symbols"/>
      </w:rPr>
    </w:lvl>
    <w:lvl w:ilvl="6">
      <w:start w:val="1"/>
      <w:numFmt w:val="bullet"/>
      <w:lvlText w:val="●"/>
      <w:lvlJc w:val="left"/>
      <w:pPr>
        <w:ind w:left="5029" w:hanging="360"/>
      </w:pPr>
      <w:rPr>
        <w:rFonts w:ascii="Noto Sans Symbols" w:cs="Noto Sans Symbols" w:eastAsia="Noto Sans Symbols" w:hAnsi="Noto Sans Symbols"/>
      </w:rPr>
    </w:lvl>
    <w:lvl w:ilvl="7">
      <w:start w:val="1"/>
      <w:numFmt w:val="bullet"/>
      <w:lvlText w:val="o"/>
      <w:lvlJc w:val="left"/>
      <w:pPr>
        <w:ind w:left="5749" w:hanging="360"/>
      </w:pPr>
      <w:rPr>
        <w:rFonts w:ascii="Courier New" w:cs="Courier New" w:eastAsia="Courier New" w:hAnsi="Courier New"/>
      </w:rPr>
    </w:lvl>
    <w:lvl w:ilvl="8">
      <w:start w:val="1"/>
      <w:numFmt w:val="bullet"/>
      <w:lvlText w:val="▪"/>
      <w:lvlJc w:val="left"/>
      <w:pPr>
        <w:ind w:left="6469" w:hanging="360"/>
      </w:pPr>
      <w:rPr>
        <w:rFonts w:ascii="Noto Sans Symbols" w:cs="Noto Sans Symbols" w:eastAsia="Noto Sans Symbols" w:hAnsi="Noto Sans Symbols"/>
      </w:rPr>
    </w:lvl>
  </w:abstractNum>
  <w:abstractNum w:abstractNumId="4">
    <w:lvl w:ilvl="0">
      <w:start w:val="1"/>
      <w:numFmt w:val="lowerLetter"/>
      <w:lvlText w:val="%1)"/>
      <w:lvlJc w:val="left"/>
      <w:pPr>
        <w:ind w:left="717" w:hanging="360"/>
      </w:pPr>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709" w:hanging="359.99999999999994"/>
      </w:pPr>
      <w:rPr/>
    </w:lvl>
    <w:lvl w:ilvl="1">
      <w:start w:val="1"/>
      <w:numFmt w:val="lowerLetter"/>
      <w:lvlText w:val="%2."/>
      <w:lvlJc w:val="left"/>
      <w:pPr>
        <w:ind w:left="1429" w:hanging="360"/>
      </w:pPr>
      <w:rPr/>
    </w:lvl>
    <w:lvl w:ilvl="2">
      <w:start w:val="1"/>
      <w:numFmt w:val="lowerRoman"/>
      <w:lvlText w:val="%3."/>
      <w:lvlJc w:val="right"/>
      <w:pPr>
        <w:ind w:left="2149" w:hanging="180"/>
      </w:pPr>
      <w:rPr/>
    </w:lvl>
    <w:lvl w:ilvl="3">
      <w:start w:val="1"/>
      <w:numFmt w:val="decimal"/>
      <w:lvlText w:val="%4."/>
      <w:lvlJc w:val="left"/>
      <w:pPr>
        <w:ind w:left="2869" w:hanging="360"/>
      </w:pPr>
      <w:rPr/>
    </w:lvl>
    <w:lvl w:ilvl="4">
      <w:start w:val="1"/>
      <w:numFmt w:val="lowerLetter"/>
      <w:lvlText w:val="%5."/>
      <w:lvlJc w:val="left"/>
      <w:pPr>
        <w:ind w:left="3589" w:hanging="360"/>
      </w:pPr>
      <w:rPr/>
    </w:lvl>
    <w:lvl w:ilvl="5">
      <w:start w:val="1"/>
      <w:numFmt w:val="lowerRoman"/>
      <w:lvlText w:val="%6."/>
      <w:lvlJc w:val="right"/>
      <w:pPr>
        <w:ind w:left="4309" w:hanging="180"/>
      </w:pPr>
      <w:rPr/>
    </w:lvl>
    <w:lvl w:ilvl="6">
      <w:start w:val="1"/>
      <w:numFmt w:val="decimal"/>
      <w:lvlText w:val="%7."/>
      <w:lvlJc w:val="left"/>
      <w:pPr>
        <w:ind w:left="5029" w:hanging="360"/>
      </w:pPr>
      <w:rPr/>
    </w:lvl>
    <w:lvl w:ilvl="7">
      <w:start w:val="1"/>
      <w:numFmt w:val="lowerLetter"/>
      <w:lvlText w:val="%8."/>
      <w:lvlJc w:val="left"/>
      <w:pPr>
        <w:ind w:left="5749" w:hanging="360"/>
      </w:pPr>
      <w:rPr/>
    </w:lvl>
    <w:lvl w:ilvl="8">
      <w:start w:val="1"/>
      <w:numFmt w:val="lowerRoman"/>
      <w:lvlText w:val="%9."/>
      <w:lvlJc w:val="right"/>
      <w:pPr>
        <w:ind w:left="6469"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9"/>
      <w:numFmt w:val="bullet"/>
      <w:lvlText w:val="-"/>
      <w:lvlJc w:val="left"/>
      <w:pPr>
        <w:ind w:left="1069" w:hanging="360"/>
      </w:pPr>
      <w:rPr>
        <w:rFonts w:ascii="Calibri" w:cs="Calibri" w:eastAsia="Calibri" w:hAnsi="Calibri"/>
        <w:b w:val="1"/>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ln" w:default="1">
    <w:name w:val="Normal"/>
    <w:qFormat w:val="1"/>
    <w:rsid w:val="0044323B"/>
    <w:pPr>
      <w:spacing w:after="0" w:line="240" w:lineRule="auto"/>
    </w:pPr>
    <w:rPr>
      <w:rFonts w:ascii="Times New Roman" w:cs="Times New Roman" w:eastAsia="Times New Roman" w:hAnsi="Times New Roman"/>
      <w:sz w:val="24"/>
      <w:szCs w:val="24"/>
      <w:lang w:eastAsia="cs-CZ"/>
    </w:rPr>
  </w:style>
  <w:style w:type="paragraph" w:styleId="Nadpis1">
    <w:name w:val="heading 1"/>
    <w:basedOn w:val="Normln"/>
    <w:link w:val="Nadpis1Char"/>
    <w:qFormat w:val="1"/>
    <w:rsid w:val="009A601C"/>
    <w:pPr>
      <w:keepNext w:val="1"/>
      <w:snapToGrid w:val="0"/>
      <w:outlineLvl w:val="0"/>
    </w:pPr>
    <w:rPr>
      <w:b w:val="1"/>
      <w:bCs w:val="1"/>
      <w:kern w:val="3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rsid w:val="0044323B"/>
  </w:style>
  <w:style w:type="paragraph" w:styleId="Nzev">
    <w:name w:val="Title"/>
    <w:basedOn w:val="Normln"/>
    <w:link w:val="NzevChar"/>
    <w:qFormat w:val="1"/>
    <w:rsid w:val="0044323B"/>
    <w:pPr>
      <w:jc w:val="center"/>
    </w:pPr>
    <w:rPr>
      <w:rFonts w:ascii="Arial" w:cs="Arial" w:hAnsi="Arial"/>
      <w:b w:val="1"/>
      <w:bCs w:val="1"/>
    </w:rPr>
  </w:style>
  <w:style w:type="character" w:styleId="NzevChar" w:customStyle="1">
    <w:name w:val="Název Char"/>
    <w:basedOn w:val="Standardnpsmoodstavce"/>
    <w:link w:val="Nzev"/>
    <w:rsid w:val="0044323B"/>
    <w:rPr>
      <w:rFonts w:ascii="Arial" w:cs="Arial" w:eastAsia="Times New Roman" w:hAnsi="Arial"/>
      <w:b w:val="1"/>
      <w:bCs w:val="1"/>
      <w:sz w:val="24"/>
      <w:szCs w:val="24"/>
      <w:lang w:eastAsia="cs-CZ"/>
    </w:rPr>
  </w:style>
  <w:style w:type="paragraph" w:styleId="Zkladntextodsazen">
    <w:name w:val="Body Text Indent"/>
    <w:basedOn w:val="Normln"/>
    <w:link w:val="ZkladntextodsazenChar"/>
    <w:uiPriority w:val="99"/>
    <w:rsid w:val="0044323B"/>
    <w:pPr>
      <w:ind w:left="720"/>
      <w:jc w:val="both"/>
    </w:pPr>
    <w:rPr>
      <w:rFonts w:ascii="Arial" w:cs="Arial" w:hAnsi="Arial"/>
    </w:rPr>
  </w:style>
  <w:style w:type="character" w:styleId="ZkladntextodsazenChar" w:customStyle="1">
    <w:name w:val="Základní text odsazený Char"/>
    <w:basedOn w:val="Standardnpsmoodstavce"/>
    <w:link w:val="Zkladntextodsazen"/>
    <w:uiPriority w:val="99"/>
    <w:rsid w:val="0044323B"/>
    <w:rPr>
      <w:rFonts w:ascii="Arial" w:cs="Arial" w:eastAsia="Times New Roman" w:hAnsi="Arial"/>
      <w:sz w:val="24"/>
      <w:szCs w:val="24"/>
      <w:lang w:eastAsia="cs-CZ"/>
    </w:rPr>
  </w:style>
  <w:style w:type="paragraph" w:styleId="Zkladntext">
    <w:name w:val="Body Text"/>
    <w:basedOn w:val="Normln"/>
    <w:link w:val="ZkladntextChar"/>
    <w:uiPriority w:val="99"/>
    <w:rsid w:val="0044323B"/>
    <w:pPr>
      <w:jc w:val="both"/>
    </w:pPr>
    <w:rPr>
      <w:rFonts w:ascii="Arial" w:cs="Arial" w:hAnsi="Arial"/>
    </w:rPr>
  </w:style>
  <w:style w:type="character" w:styleId="ZkladntextChar" w:customStyle="1">
    <w:name w:val="Základní text Char"/>
    <w:basedOn w:val="Standardnpsmoodstavce"/>
    <w:link w:val="Zkladntext"/>
    <w:uiPriority w:val="99"/>
    <w:rsid w:val="0044323B"/>
    <w:rPr>
      <w:rFonts w:ascii="Arial" w:cs="Arial" w:eastAsia="Times New Roman" w:hAnsi="Arial"/>
      <w:sz w:val="24"/>
      <w:szCs w:val="24"/>
      <w:lang w:eastAsia="cs-CZ"/>
    </w:rPr>
  </w:style>
  <w:style w:type="character" w:styleId="role" w:customStyle="1">
    <w:name w:val="role"/>
    <w:basedOn w:val="Standardnpsmoodstavce"/>
    <w:rsid w:val="0044323B"/>
    <w:rPr>
      <w:rFonts w:cs="Times New Roman"/>
    </w:rPr>
  </w:style>
  <w:style w:type="paragraph" w:styleId="Odstavecseseznamem">
    <w:name w:val="List Paragraph"/>
    <w:basedOn w:val="Normln"/>
    <w:uiPriority w:val="34"/>
    <w:qFormat w:val="1"/>
    <w:rsid w:val="0044323B"/>
    <w:pPr>
      <w:ind w:left="720"/>
      <w:contextualSpacing w:val="1"/>
    </w:pPr>
  </w:style>
  <w:style w:type="character" w:styleId="Nadpis1Char" w:customStyle="1">
    <w:name w:val="Nadpis 1 Char"/>
    <w:basedOn w:val="Standardnpsmoodstavce"/>
    <w:link w:val="Nadpis1"/>
    <w:rsid w:val="009A601C"/>
    <w:rPr>
      <w:rFonts w:ascii="Times New Roman" w:cs="Times New Roman" w:eastAsia="Times New Roman" w:hAnsi="Times New Roman"/>
      <w:b w:val="1"/>
      <w:bCs w:val="1"/>
      <w:kern w:val="36"/>
      <w:sz w:val="24"/>
      <w:szCs w:val="24"/>
      <w:lang w:eastAsia="cs-CZ"/>
    </w:rPr>
  </w:style>
  <w:style w:type="character" w:styleId="Hypertextovodkaz">
    <w:name w:val="Hyperlink"/>
    <w:uiPriority w:val="99"/>
    <w:rsid w:val="002249A1"/>
    <w:rPr>
      <w:rFonts w:cs="Times New Roman"/>
      <w:color w:val="0000ff"/>
      <w:u w:val="single"/>
    </w:rPr>
  </w:style>
  <w:style w:type="paragraph" w:styleId="Body1" w:customStyle="1">
    <w:name w:val="Body 1"/>
    <w:uiPriority w:val="99"/>
    <w:rsid w:val="002249A1"/>
    <w:pPr>
      <w:spacing w:after="0" w:line="240" w:lineRule="auto"/>
      <w:outlineLvl w:val="0"/>
    </w:pPr>
    <w:rPr>
      <w:rFonts w:ascii="Times New Roman" w:cs="Times New Roman" w:eastAsia="Times New Roman" w:hAnsi="Times New Roman"/>
      <w:color w:val="000000"/>
      <w:sz w:val="24"/>
      <w:szCs w:val="20"/>
      <w:lang w:eastAsia="cs-CZ" w:val="en-US"/>
    </w:rPr>
  </w:style>
  <w:style w:type="paragraph" w:styleId="Textbubliny">
    <w:name w:val="Balloon Text"/>
    <w:basedOn w:val="Normln"/>
    <w:link w:val="TextbublinyChar"/>
    <w:uiPriority w:val="99"/>
    <w:semiHidden w:val="1"/>
    <w:unhideWhenUsed w:val="1"/>
    <w:rsid w:val="00366BD4"/>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366BD4"/>
    <w:rPr>
      <w:rFonts w:ascii="Tahoma" w:cs="Tahoma" w:eastAsia="Times New Roman" w:hAnsi="Tahoma"/>
      <w:sz w:val="16"/>
      <w:szCs w:val="16"/>
      <w:lang w:eastAsia="cs-CZ"/>
    </w:rPr>
  </w:style>
  <w:style w:type="character" w:styleId="Odkaznakoment">
    <w:name w:val="annotation reference"/>
    <w:basedOn w:val="Standardnpsmoodstavce"/>
    <w:uiPriority w:val="99"/>
    <w:semiHidden w:val="1"/>
    <w:unhideWhenUsed w:val="1"/>
    <w:rsid w:val="00F52BB0"/>
    <w:rPr>
      <w:sz w:val="16"/>
      <w:szCs w:val="16"/>
    </w:rPr>
  </w:style>
  <w:style w:type="paragraph" w:styleId="Textkomente">
    <w:name w:val="annotation text"/>
    <w:basedOn w:val="Normln"/>
    <w:link w:val="TextkomenteChar"/>
    <w:uiPriority w:val="99"/>
    <w:semiHidden w:val="1"/>
    <w:unhideWhenUsed w:val="1"/>
    <w:rsid w:val="00F52BB0"/>
    <w:rPr>
      <w:sz w:val="20"/>
      <w:szCs w:val="20"/>
    </w:rPr>
  </w:style>
  <w:style w:type="character" w:styleId="TextkomenteChar" w:customStyle="1">
    <w:name w:val="Text komentáře Char"/>
    <w:basedOn w:val="Standardnpsmoodstavce"/>
    <w:link w:val="Textkomente"/>
    <w:uiPriority w:val="99"/>
    <w:semiHidden w:val="1"/>
    <w:rsid w:val="00F52BB0"/>
    <w:rPr>
      <w:rFonts w:ascii="Times New Roman" w:cs="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val="1"/>
    <w:unhideWhenUsed w:val="1"/>
    <w:rsid w:val="00F52BB0"/>
    <w:rPr>
      <w:b w:val="1"/>
      <w:bCs w:val="1"/>
    </w:rPr>
  </w:style>
  <w:style w:type="character" w:styleId="PedmtkomenteChar" w:customStyle="1">
    <w:name w:val="Předmět komentáře Char"/>
    <w:basedOn w:val="TextkomenteChar"/>
    <w:link w:val="Pedmtkomente"/>
    <w:uiPriority w:val="99"/>
    <w:semiHidden w:val="1"/>
    <w:rsid w:val="00F52BB0"/>
    <w:rPr>
      <w:rFonts w:ascii="Times New Roman" w:cs="Times New Roman" w:eastAsia="Times New Roman" w:hAnsi="Times New Roman"/>
      <w:b w:val="1"/>
      <w:bCs w:val="1"/>
      <w:sz w:val="20"/>
      <w:szCs w:val="20"/>
      <w:lang w:eastAsia="cs-CZ"/>
    </w:rPr>
  </w:style>
  <w:style w:type="paragraph" w:styleId="Zpat">
    <w:name w:val="footer"/>
    <w:basedOn w:val="Normln"/>
    <w:link w:val="ZpatChar"/>
    <w:uiPriority w:val="99"/>
    <w:rsid w:val="001F05E4"/>
    <w:pPr>
      <w:tabs>
        <w:tab w:val="center" w:pos="4536"/>
        <w:tab w:val="right" w:pos="9072"/>
      </w:tabs>
      <w:overflowPunct w:val="0"/>
      <w:autoSpaceDE w:val="0"/>
      <w:autoSpaceDN w:val="0"/>
      <w:adjustRightInd w:val="0"/>
      <w:textAlignment w:val="baseline"/>
    </w:pPr>
    <w:rPr>
      <w:sz w:val="20"/>
      <w:szCs w:val="20"/>
    </w:rPr>
  </w:style>
  <w:style w:type="character" w:styleId="ZpatChar" w:customStyle="1">
    <w:name w:val="Zápatí Char"/>
    <w:basedOn w:val="Standardnpsmoodstavce"/>
    <w:link w:val="Zpat"/>
    <w:uiPriority w:val="99"/>
    <w:rsid w:val="001F05E4"/>
    <w:rPr>
      <w:rFonts w:ascii="Times New Roman" w:cs="Times New Roman" w:eastAsia="Times New Roman" w:hAnsi="Times New Roman"/>
      <w:sz w:val="20"/>
      <w:szCs w:val="20"/>
      <w:lang w:eastAsia="cs-CZ"/>
    </w:rPr>
  </w:style>
  <w:style w:type="paragraph" w:styleId="Zhlav">
    <w:name w:val="header"/>
    <w:basedOn w:val="Normln"/>
    <w:link w:val="ZhlavChar"/>
    <w:uiPriority w:val="99"/>
    <w:unhideWhenUsed w:val="1"/>
    <w:rsid w:val="001F05E4"/>
    <w:pPr>
      <w:tabs>
        <w:tab w:val="center" w:pos="4536"/>
        <w:tab w:val="right" w:pos="9072"/>
      </w:tabs>
    </w:pPr>
  </w:style>
  <w:style w:type="character" w:styleId="ZhlavChar" w:customStyle="1">
    <w:name w:val="Záhlaví Char"/>
    <w:basedOn w:val="Standardnpsmoodstavce"/>
    <w:link w:val="Zhlav"/>
    <w:uiPriority w:val="99"/>
    <w:rsid w:val="001F05E4"/>
    <w:rPr>
      <w:rFonts w:ascii="Times New Roman" w:cs="Times New Roman" w:eastAsia="Times New Roman" w:hAnsi="Times New Roman"/>
      <w:sz w:val="24"/>
      <w:szCs w:val="24"/>
      <w:lang w:eastAsia="cs-CZ"/>
    </w:rPr>
  </w:style>
  <w:style w:type="character" w:styleId="Nevyeenzmnka">
    <w:name w:val="Unresolved Mention"/>
    <w:basedOn w:val="Standardnpsmoodstavce"/>
    <w:uiPriority w:val="99"/>
    <w:semiHidden w:val="1"/>
    <w:unhideWhenUsed w:val="1"/>
    <w:rsid w:val="001F05E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eronika.hessova@mdol.cz" TargetMode="External"/><Relationship Id="rId8" Type="http://schemas.openxmlformats.org/officeDocument/2006/relationships/hyperlink" Target="mailto:stefanova@nd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r1pgY2TnCXc025rDKLimialWw==">AMUW2mVnA08qsrDHh2Gk4sx/7Kh8+BAxZyq8Eg9o3bmpPbTacZ5F08uFv/zqgZ0BltpD6jJXSqF0r0RwgzKsF+N96m5fT2mGX2SkfV1J2g2GUF4k8Ci8k3I=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2019-10-01T12:57:00Z</dcterms:created>
  <dc:creator>plsek</dc:creator>
</cp:coreProperties>
</file>