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92" w:rsidRDefault="00376E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Kupní smlouva na movitou věc</w:t>
      </w:r>
    </w:p>
    <w:p w:rsidR="00226892" w:rsidRDefault="00376E45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uzavřená ve smyslu </w:t>
      </w:r>
      <w:proofErr w:type="spellStart"/>
      <w:r>
        <w:rPr>
          <w:rFonts w:ascii="Times New Roman" w:eastAsia="Times New Roman" w:hAnsi="Times New Roman" w:cs="Times New Roman"/>
          <w:sz w:val="20"/>
        </w:rPr>
        <w:t>ust</w:t>
      </w:r>
      <w:proofErr w:type="spellEnd"/>
      <w:r>
        <w:rPr>
          <w:rFonts w:ascii="Times New Roman" w:eastAsia="Times New Roman" w:hAnsi="Times New Roman" w:cs="Times New Roman"/>
          <w:sz w:val="20"/>
        </w:rPr>
        <w:t>. § 2079 a násl. zákona č. 89/2012 Sb., občanský zákoník, ve znění pozdějších předpisů,</w:t>
      </w:r>
    </w:p>
    <w:p w:rsidR="00226892" w:rsidRDefault="00376E45">
      <w:pPr>
        <w:spacing w:before="60" w:after="60" w:line="32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>(dále jen „</w:t>
      </w:r>
      <w:r>
        <w:rPr>
          <w:rFonts w:ascii="Times New Roman" w:eastAsia="Times New Roman" w:hAnsi="Times New Roman" w:cs="Times New Roman"/>
          <w:b/>
          <w:sz w:val="20"/>
        </w:rPr>
        <w:t>občanský zákoník</w:t>
      </w:r>
      <w:r>
        <w:rPr>
          <w:rFonts w:ascii="Times New Roman" w:eastAsia="Times New Roman" w:hAnsi="Times New Roman" w:cs="Times New Roman"/>
          <w:sz w:val="20"/>
        </w:rPr>
        <w:t>“)</w:t>
      </w:r>
    </w:p>
    <w:p w:rsidR="00226892" w:rsidRDefault="00226892">
      <w:pPr>
        <w:spacing w:before="60" w:after="60" w:line="320" w:lineRule="auto"/>
        <w:rPr>
          <w:rFonts w:ascii="Times New Roman" w:eastAsia="Times New Roman" w:hAnsi="Times New Roman" w:cs="Times New Roman"/>
          <w:b/>
          <w:sz w:val="24"/>
        </w:rPr>
      </w:pPr>
    </w:p>
    <w:p w:rsidR="00226892" w:rsidRDefault="00376E45">
      <w:pPr>
        <w:numPr>
          <w:ilvl w:val="0"/>
          <w:numId w:val="1"/>
        </w:numPr>
        <w:spacing w:before="6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Smluvní</w:t>
      </w: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strany</w:t>
      </w:r>
    </w:p>
    <w:p w:rsidR="00226892" w:rsidRDefault="00376E45">
      <w:pPr>
        <w:numPr>
          <w:ilvl w:val="0"/>
          <w:numId w:val="1"/>
        </w:numPr>
        <w:tabs>
          <w:tab w:val="left" w:pos="142"/>
        </w:tabs>
        <w:spacing w:before="60"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(Firma či jméno a příjmení):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Ondřej Wagner</w:t>
      </w:r>
    </w:p>
    <w:p w:rsidR="00226892" w:rsidRDefault="00376E45">
      <w:pPr>
        <w:spacing w:before="60" w:after="60" w:line="320" w:lineRule="auto"/>
        <w:ind w:left="360" w:firstLine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sídlo: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Rudišova 3, 602 00 Brno</w:t>
      </w:r>
    </w:p>
    <w:p w:rsidR="00226892" w:rsidRDefault="00376E45">
      <w:pPr>
        <w:spacing w:before="60" w:after="60" w:line="32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IČO: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01408364</w:t>
      </w:r>
    </w:p>
    <w:p w:rsidR="00226892" w:rsidRDefault="00376E45">
      <w:pPr>
        <w:spacing w:before="60" w:after="60" w:line="32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4"/>
        </w:rPr>
        <w:t>Kb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číslo účtu: </w:t>
      </w:r>
      <w:r>
        <w:rPr>
          <w:rFonts w:ascii="Times New Roman" w:eastAsia="Times New Roman" w:hAnsi="Times New Roman" w:cs="Times New Roman"/>
          <w:b/>
          <w:sz w:val="24"/>
        </w:rPr>
        <w:t>107-2936110257/0100</w:t>
      </w:r>
    </w:p>
    <w:p w:rsidR="00226892" w:rsidRDefault="00376E45">
      <w:pPr>
        <w:spacing w:before="120" w:after="60" w:line="32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</w:rPr>
        <w:t>prodávající</w:t>
      </w:r>
      <w:r>
        <w:rPr>
          <w:rFonts w:ascii="Times New Roman" w:eastAsia="Times New Roman" w:hAnsi="Times New Roman" w:cs="Times New Roman"/>
          <w:sz w:val="24"/>
        </w:rPr>
        <w:t xml:space="preserve">“) </w:t>
      </w:r>
    </w:p>
    <w:p w:rsidR="00226892" w:rsidRDefault="00226892">
      <w:pPr>
        <w:spacing w:before="60" w:after="60" w:line="32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spacing w:before="60" w:after="60" w:line="32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226892" w:rsidRDefault="00226892">
      <w:pPr>
        <w:spacing w:before="60" w:after="60" w:line="32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numPr>
          <w:ilvl w:val="0"/>
          <w:numId w:val="2"/>
        </w:numPr>
        <w:tabs>
          <w:tab w:val="left" w:pos="142"/>
        </w:tabs>
        <w:spacing w:before="60"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(Firma či jméno a příjmení):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Základní škola Rudolfa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Koblice</w:t>
      </w:r>
      <w:proofErr w:type="spellEnd"/>
    </w:p>
    <w:p w:rsidR="00226892" w:rsidRDefault="00376E45">
      <w:pPr>
        <w:spacing w:before="60" w:after="60" w:line="320" w:lineRule="auto"/>
        <w:ind w:left="360" w:firstLine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sídlo: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Pionýrů 1102, Kadaň 43201</w:t>
      </w:r>
    </w:p>
    <w:p w:rsidR="00226892" w:rsidRDefault="00376E45">
      <w:pPr>
        <w:spacing w:before="60" w:after="60" w:line="32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IČO: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46789987</w:t>
      </w:r>
    </w:p>
    <w:p w:rsidR="00226892" w:rsidRDefault="00226892">
      <w:pPr>
        <w:spacing w:before="60" w:after="60" w:line="32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F4722B" w:rsidP="00F4722B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Mgr. Stanislav Hakl,</w:t>
      </w:r>
      <w:r w:rsidR="007B1898">
        <w:rPr>
          <w:rFonts w:ascii="Times New Roman" w:eastAsia="Times New Roman" w:hAnsi="Times New Roman" w:cs="Times New Roman"/>
          <w:sz w:val="24"/>
        </w:rPr>
        <w:t xml:space="preserve"> ředitel školy</w:t>
      </w:r>
      <w:r w:rsidR="00376E45">
        <w:rPr>
          <w:rFonts w:ascii="Times New Roman" w:eastAsia="Times New Roman" w:hAnsi="Times New Roman" w:cs="Times New Roman"/>
          <w:sz w:val="24"/>
        </w:rPr>
        <w:tab/>
      </w:r>
      <w:r w:rsidR="00376E45">
        <w:rPr>
          <w:rFonts w:ascii="Times New Roman" w:eastAsia="Times New Roman" w:hAnsi="Times New Roman" w:cs="Times New Roman"/>
          <w:sz w:val="24"/>
        </w:rPr>
        <w:tab/>
      </w:r>
      <w:r w:rsidR="00376E45">
        <w:rPr>
          <w:rFonts w:ascii="Times New Roman" w:eastAsia="Times New Roman" w:hAnsi="Times New Roman" w:cs="Times New Roman"/>
          <w:sz w:val="24"/>
        </w:rPr>
        <w:tab/>
      </w:r>
      <w:r w:rsidR="00376E45">
        <w:rPr>
          <w:rFonts w:ascii="Times New Roman" w:eastAsia="Times New Roman" w:hAnsi="Times New Roman" w:cs="Times New Roman"/>
          <w:sz w:val="24"/>
        </w:rPr>
        <w:tab/>
      </w:r>
      <w:r w:rsidR="007B1898">
        <w:rPr>
          <w:rFonts w:ascii="Times New Roman" w:eastAsia="Times New Roman" w:hAnsi="Times New Roman" w:cs="Times New Roman"/>
          <w:sz w:val="24"/>
        </w:rPr>
        <w:t xml:space="preserve"> </w:t>
      </w:r>
    </w:p>
    <w:p w:rsidR="00226892" w:rsidRDefault="00376E45">
      <w:pPr>
        <w:spacing w:before="60" w:after="60" w:line="32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r w:rsidR="007B1898">
        <w:rPr>
          <w:rFonts w:ascii="Times New Roman" w:eastAsia="Times New Roman" w:hAnsi="Times New Roman" w:cs="Times New Roman"/>
          <w:sz w:val="24"/>
        </w:rPr>
        <w:t xml:space="preserve">Moneta Money </w:t>
      </w:r>
      <w:r>
        <w:rPr>
          <w:rFonts w:ascii="Times New Roman" w:eastAsia="Times New Roman" w:hAnsi="Times New Roman" w:cs="Times New Roman"/>
          <w:sz w:val="24"/>
        </w:rPr>
        <w:t xml:space="preserve"> číslo účtu: </w:t>
      </w:r>
      <w:r w:rsidR="00F4722B">
        <w:rPr>
          <w:rFonts w:ascii="Times New Roman" w:eastAsia="Times New Roman" w:hAnsi="Times New Roman" w:cs="Times New Roman"/>
          <w:sz w:val="24"/>
        </w:rPr>
        <w:t>870202714/0600</w:t>
      </w:r>
    </w:p>
    <w:p w:rsidR="00226892" w:rsidRDefault="00376E45">
      <w:pPr>
        <w:spacing w:before="120" w:after="60" w:line="32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</w:rPr>
        <w:t>kupující</w:t>
      </w:r>
      <w:r>
        <w:rPr>
          <w:rFonts w:ascii="Times New Roman" w:eastAsia="Times New Roman" w:hAnsi="Times New Roman" w:cs="Times New Roman"/>
          <w:sz w:val="24"/>
        </w:rPr>
        <w:t xml:space="preserve">“) </w:t>
      </w:r>
    </w:p>
    <w:p w:rsidR="00226892" w:rsidRDefault="00226892">
      <w:pPr>
        <w:spacing w:before="60" w:after="60" w:line="32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spacing w:before="60" w:after="60" w:line="32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a kupující společně dále téže jako „</w:t>
      </w:r>
      <w:r>
        <w:rPr>
          <w:rFonts w:ascii="Times New Roman" w:eastAsia="Times New Roman" w:hAnsi="Times New Roman" w:cs="Times New Roman"/>
          <w:b/>
          <w:sz w:val="24"/>
        </w:rPr>
        <w:t>smluvní strany</w:t>
      </w:r>
      <w:r>
        <w:rPr>
          <w:rFonts w:ascii="Times New Roman" w:eastAsia="Times New Roman" w:hAnsi="Times New Roman" w:cs="Times New Roman"/>
          <w:sz w:val="24"/>
        </w:rPr>
        <w:t>“ a každá samostatně jako „</w:t>
      </w:r>
      <w:r>
        <w:rPr>
          <w:rFonts w:ascii="Times New Roman" w:eastAsia="Times New Roman" w:hAnsi="Times New Roman" w:cs="Times New Roman"/>
          <w:b/>
          <w:sz w:val="24"/>
        </w:rPr>
        <w:t>smluvní strana</w:t>
      </w:r>
      <w:r>
        <w:rPr>
          <w:rFonts w:ascii="Times New Roman" w:eastAsia="Times New Roman" w:hAnsi="Times New Roman" w:cs="Times New Roman"/>
          <w:sz w:val="24"/>
        </w:rPr>
        <w:t>“ uzavírají níže uvedeného dne, měsíce a roku tuto</w:t>
      </w:r>
    </w:p>
    <w:p w:rsidR="00226892" w:rsidRDefault="00226892">
      <w:pPr>
        <w:spacing w:before="60" w:after="60" w:line="32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spacing w:before="60" w:after="60" w:line="320" w:lineRule="auto"/>
        <w:ind w:firstLine="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kupní smlouvu</w:t>
      </w: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numPr>
          <w:ilvl w:val="0"/>
          <w:numId w:val="3"/>
        </w:numPr>
        <w:spacing w:before="6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Úvodní ustanovení</w:t>
      </w:r>
    </w:p>
    <w:p w:rsidR="00226892" w:rsidRDefault="00376E45">
      <w:pPr>
        <w:numPr>
          <w:ilvl w:val="0"/>
          <w:numId w:val="3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Prodávající prohlašuje, že je výlučným vlastníkem movité věci 14 kusů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zahradní lavice z akátového dřeva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předmět koupě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“) na základě kupní smlouvy ze dne 13.7.2021. Doklad o koupi této movité věci je součástí této smlouvy, označený jako příloha č. 1.</w:t>
      </w:r>
    </w:p>
    <w:p w:rsidR="00226892" w:rsidRDefault="00376E45">
      <w:pPr>
        <w:numPr>
          <w:ilvl w:val="0"/>
          <w:numId w:val="3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Příslušenství předmětu koupě tvoří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cena za přepravu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(dále jen „příslušenství“).</w:t>
      </w:r>
    </w:p>
    <w:p w:rsidR="00226892" w:rsidRDefault="00226892">
      <w:pPr>
        <w:spacing w:before="60" w:after="60" w:line="32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numPr>
          <w:ilvl w:val="0"/>
          <w:numId w:val="4"/>
        </w:numPr>
        <w:spacing w:before="6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Předmět smlouvy</w:t>
      </w:r>
    </w:p>
    <w:p w:rsidR="00226892" w:rsidRDefault="00376E45">
      <w:pPr>
        <w:numPr>
          <w:ilvl w:val="0"/>
          <w:numId w:val="4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Předmětem této smlouvy je závazek na straně prodávajícího odevzdat kupujícímu předmět koupě s veškerým příslušenstvím, blíže specifikovaný v čl. 1, a umožnit kupujícímu nabytí vlastnického práva k předmětu koupě a závazek na straně kupujícího tento předmět koupě s veškerým příslušenstvím převzít a zaplatit za něj prodávajícímu kupní cenu.</w:t>
      </w: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numPr>
          <w:ilvl w:val="0"/>
          <w:numId w:val="5"/>
        </w:numPr>
        <w:spacing w:before="6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Kupní cena</w:t>
      </w:r>
    </w:p>
    <w:p w:rsidR="00226892" w:rsidRDefault="00376E45">
      <w:pPr>
        <w:numPr>
          <w:ilvl w:val="0"/>
          <w:numId w:val="5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Smluvní strany sjednávají za předmět koupě s veškerým příslušenstvím kupní cenu ve vý</w:t>
      </w:r>
      <w:r w:rsidR="00F4722B">
        <w:rPr>
          <w:rFonts w:ascii="Times New Roman" w:eastAsia="Times New Roman" w:hAnsi="Times New Roman" w:cs="Times New Roman"/>
          <w:sz w:val="24"/>
          <w:shd w:val="clear" w:color="auto" w:fill="FFFFFF"/>
        </w:rPr>
        <w:t>ši 76 000,- Kč (slovy: sedmdesátšest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tisíc korun českých).</w:t>
      </w:r>
    </w:p>
    <w:p w:rsidR="00226892" w:rsidRDefault="00376E45">
      <w:pPr>
        <w:numPr>
          <w:ilvl w:val="0"/>
          <w:numId w:val="5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Kupující se zavazuje zaplatit prodávajícímu kupní cenu v hotovosti při předání předmětu koupě. </w:t>
      </w:r>
    </w:p>
    <w:p w:rsidR="00226892" w:rsidRDefault="00226892">
      <w:pPr>
        <w:spacing w:before="60" w:after="60" w:line="32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226892">
      <w:pPr>
        <w:spacing w:before="60" w:after="60" w:line="32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numPr>
          <w:ilvl w:val="0"/>
          <w:numId w:val="6"/>
        </w:numPr>
        <w:spacing w:before="6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Doba a místo předání</w:t>
      </w:r>
    </w:p>
    <w:p w:rsidR="00226892" w:rsidRDefault="00376E45">
      <w:pPr>
        <w:numPr>
          <w:ilvl w:val="0"/>
          <w:numId w:val="6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Prodávající se zavazuje předat kupujícímu předmět koupě s veškerým příslušenstvím dne 13.7.2021 na adrese </w:t>
      </w:r>
    </w:p>
    <w:p w:rsidR="00226892" w:rsidRDefault="00376E45">
      <w:pPr>
        <w:numPr>
          <w:ilvl w:val="0"/>
          <w:numId w:val="6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Společně s předmětem koupě a jeho příslušenstvím se prodávající zavazuje předat kupujícímu doklady nutné k převzetí a užívání věci a k uplatnění případných vad z titulu záruky za jakost.</w:t>
      </w:r>
    </w:p>
    <w:p w:rsidR="00226892" w:rsidRDefault="00226892">
      <w:pPr>
        <w:spacing w:before="60" w:after="60" w:line="32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226892">
      <w:pPr>
        <w:spacing w:before="60" w:after="60" w:line="32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numPr>
          <w:ilvl w:val="0"/>
          <w:numId w:val="7"/>
        </w:numPr>
        <w:spacing w:before="6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Vlastnické právo</w:t>
      </w:r>
    </w:p>
    <w:p w:rsidR="00226892" w:rsidRDefault="00376E45">
      <w:pPr>
        <w:numPr>
          <w:ilvl w:val="0"/>
          <w:numId w:val="7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Smluvní strany berou na vědomí, že kupující se stane vlastníkem předmětu koupě včetně jeho příslušenství již okamžikem účinnosti této smlouvy, bez ohledu na okamžik jeho faktického předání a převzetí.</w:t>
      </w:r>
    </w:p>
    <w:p w:rsidR="00226892" w:rsidRDefault="00226892">
      <w:pPr>
        <w:spacing w:before="60" w:after="60" w:line="32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226892">
      <w:pPr>
        <w:spacing w:before="60" w:after="60" w:line="320" w:lineRule="auto"/>
        <w:ind w:left="708"/>
        <w:rPr>
          <w:rFonts w:ascii="Times New Roman" w:eastAsia="Times New Roman" w:hAnsi="Times New Roman" w:cs="Times New Roman"/>
          <w:b/>
          <w:sz w:val="24"/>
        </w:rPr>
      </w:pPr>
    </w:p>
    <w:p w:rsidR="00226892" w:rsidRDefault="00376E45">
      <w:pPr>
        <w:numPr>
          <w:ilvl w:val="0"/>
          <w:numId w:val="8"/>
        </w:numPr>
        <w:spacing w:before="6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Přechod nebezpečí škody</w:t>
      </w:r>
    </w:p>
    <w:p w:rsidR="00226892" w:rsidRDefault="00376E45">
      <w:pPr>
        <w:numPr>
          <w:ilvl w:val="0"/>
          <w:numId w:val="8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K přechodu nebezpečí škody na předmětu koupě a jeho příslušenství dojde okamžikem jeho převzetí ze strany kupujícího.</w:t>
      </w: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numPr>
          <w:ilvl w:val="0"/>
          <w:numId w:val="9"/>
        </w:numPr>
        <w:spacing w:before="6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Odpovědnost za vady</w:t>
      </w:r>
    </w:p>
    <w:p w:rsidR="00226892" w:rsidRDefault="00376E45">
      <w:pPr>
        <w:numPr>
          <w:ilvl w:val="0"/>
          <w:numId w:val="9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Prodávající kupujícího výslovně upozorňuje na následující vady předmětu koupě:</w:t>
      </w:r>
    </w:p>
    <w:p w:rsidR="00226892" w:rsidRDefault="00376E45">
      <w:pPr>
        <w:numPr>
          <w:ilvl w:val="0"/>
          <w:numId w:val="9"/>
        </w:numPr>
        <w:spacing w:before="60" w:after="60" w:line="320" w:lineRule="auto"/>
        <w:ind w:left="143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Akátové lavice jsou vyrobeny z masivního dřeva, vlivem počasí se mohou na dřevě vyskytovat praskliny, které neovlivňují </w:t>
      </w:r>
      <w:r w:rsidR="00F4722B">
        <w:rPr>
          <w:rFonts w:ascii="Calibri" w:eastAsia="Calibri" w:hAnsi="Calibri" w:cs="Calibri"/>
        </w:rPr>
        <w:t>funkčnost</w:t>
      </w:r>
      <w:r>
        <w:rPr>
          <w:rFonts w:ascii="Calibri" w:eastAsia="Calibri" w:hAnsi="Calibri" w:cs="Calibri"/>
        </w:rPr>
        <w:t xml:space="preserve"> ani životnost produktu</w:t>
      </w:r>
    </w:p>
    <w:p w:rsidR="00226892" w:rsidRDefault="00376E45">
      <w:pPr>
        <w:numPr>
          <w:ilvl w:val="0"/>
          <w:numId w:val="9"/>
        </w:numPr>
        <w:spacing w:before="60" w:after="6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Prodávající prohlašuje, že je oprávněn předmět koupě s veškerým příslušenstvím prodat a že na nich neváznou žádné dluhy, zástavní práva či jiné právní vady.</w:t>
      </w:r>
    </w:p>
    <w:p w:rsidR="00226892" w:rsidRDefault="00376E45">
      <w:pPr>
        <w:numPr>
          <w:ilvl w:val="0"/>
          <w:numId w:val="9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Kupující prohlašuje a podpisem této smlouvy stvrzuje, že si předmět koupě s veškerým příslušenstvím řádné prohlédl a seznámil se s jeho stavem, jakož i vadami uvedenými v odstavci 1 tohoto článku.</w:t>
      </w:r>
    </w:p>
    <w:p w:rsidR="00226892" w:rsidRDefault="00376E45">
      <w:pPr>
        <w:numPr>
          <w:ilvl w:val="0"/>
          <w:numId w:val="9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V případě, že budou kupujícím po převzetí předmětu koupě s veškerým příslušenstvím na tomto zjištěny jiné vady, než na které byl upozorněn prodávajícím, má kupující právo uplatnit vůči prodávajícímu nároky v souladu s </w:t>
      </w:r>
      <w:bookmarkStart w:id="0" w:name="_GoBack"/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ust</w:t>
      </w:r>
      <w:bookmarkEnd w:id="0"/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§ 2099 až 2117 občanského zákoníku.</w:t>
      </w: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numPr>
          <w:ilvl w:val="0"/>
          <w:numId w:val="10"/>
        </w:numPr>
        <w:spacing w:before="6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Vedlejší ujednání (dále lze sjednat)</w:t>
      </w:r>
    </w:p>
    <w:p w:rsidR="00226892" w:rsidRDefault="00376E45">
      <w:pPr>
        <w:numPr>
          <w:ilvl w:val="0"/>
          <w:numId w:val="10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Výhrada vlastnického práva</w:t>
      </w:r>
    </w:p>
    <w:p w:rsidR="00226892" w:rsidRDefault="00376E45">
      <w:pPr>
        <w:numPr>
          <w:ilvl w:val="0"/>
          <w:numId w:val="10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Smluvní strany si ujednaly, že kupující se stane vlastníkem předmětu koupě s veškerým příslušenstvím teprve úplným zaplacením kupní ceny.</w:t>
      </w:r>
    </w:p>
    <w:p w:rsidR="00226892" w:rsidRDefault="00376E45">
      <w:pPr>
        <w:numPr>
          <w:ilvl w:val="0"/>
          <w:numId w:val="10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Nebezpečí škody na předmětu koupě a veškerém příslušenství však přechází na kupujícího okamžikem jejich převzetí.</w:t>
      </w:r>
    </w:p>
    <w:p w:rsidR="00226892" w:rsidRDefault="00226892">
      <w:pPr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226892" w:rsidRDefault="00376E45">
      <w:pPr>
        <w:numPr>
          <w:ilvl w:val="0"/>
          <w:numId w:val="11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Předkupní právo</w:t>
      </w:r>
    </w:p>
    <w:p w:rsidR="00226892" w:rsidRDefault="00376E45">
      <w:pPr>
        <w:numPr>
          <w:ilvl w:val="0"/>
          <w:numId w:val="11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Smluvní strany sjednávají k předmětu koupě včetně veškerého příslušenství předkupní právo ve prospěch prodávajícího (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předkupníka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). Prodávající (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předkupník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) prodává předmět koupě s příslušenstvím s výhradou, že mu ho kupující nabídne ke koupi, kdyby ho chtěl prodat či jinak bezúplatně převést na třetí osobu (koupěchtivého).</w:t>
      </w:r>
    </w:p>
    <w:p w:rsidR="00226892" w:rsidRDefault="00376E45">
      <w:pPr>
        <w:numPr>
          <w:ilvl w:val="0"/>
          <w:numId w:val="11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Předkupní právo se sjednává na dobu určitou, a to na dobu tří let ode dne uzavření této smlouvy.</w:t>
      </w:r>
    </w:p>
    <w:p w:rsidR="00226892" w:rsidRDefault="00376E45">
      <w:pPr>
        <w:numPr>
          <w:ilvl w:val="0"/>
          <w:numId w:val="11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Obsahem předkupního práva je závazek kupujícího pro případ, že by chtěl předmět koupě včetně jeho příslušenství jakýmkoli způsobem zcizit, nejdříve tento předmět koupě včetně jeho příslušenství nabídnout prodávajícímu (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předkupníkovi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) ke koupi za stejnou kupní cenu a se stejnými podmínkami, jaké dohodne se třetí osobou (koupěchtivým).</w:t>
      </w:r>
    </w:p>
    <w:p w:rsidR="00226892" w:rsidRDefault="00376E45">
      <w:pPr>
        <w:numPr>
          <w:ilvl w:val="0"/>
          <w:numId w:val="11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Nabídka ze strany kupujícího bude provedena písemně a musí obsahovat všechny podmínky a obsah smlouvy uzavřený s třetí osobou (koupěchtivým). Prodávající (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předkupník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) se zavazuje zaplatit kupujícímu kupní cenu do osmi dnů po přijetí nabídky, jinak předkupní právo zanikne.</w:t>
      </w:r>
    </w:p>
    <w:p w:rsidR="00226892" w:rsidRDefault="00226892">
      <w:pPr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226892" w:rsidRDefault="00376E45">
      <w:pPr>
        <w:numPr>
          <w:ilvl w:val="0"/>
          <w:numId w:val="12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Koupě na zkoušku</w:t>
      </w:r>
    </w:p>
    <w:p w:rsidR="00226892" w:rsidRDefault="00376E45">
      <w:pPr>
        <w:numPr>
          <w:ilvl w:val="0"/>
          <w:numId w:val="12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lastRenderedPageBreak/>
        <w:t>Kupující kupuje předmět koupě včetně jeho příslušenství na zkoušku, tedy s podmínkou, že předmět koupě včetně jeho příslušenství ve zkušební době tří dnů schválí.</w:t>
      </w:r>
    </w:p>
    <w:p w:rsidR="00226892" w:rsidRDefault="00376E45">
      <w:pPr>
        <w:numPr>
          <w:ilvl w:val="0"/>
          <w:numId w:val="12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Pokud kupující předmět koupě včetně jeho příslušenství nepřevezme, má podmínka povahu podmínky odkládací. Tato podmínka se považuje za zmařenou, jestliže kupující ve zkušební době předmět koupě neschválí. </w:t>
      </w:r>
    </w:p>
    <w:p w:rsidR="00226892" w:rsidRDefault="00376E45">
      <w:pPr>
        <w:numPr>
          <w:ilvl w:val="0"/>
          <w:numId w:val="12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Pokud kupující předmět koupě včetně jeho příslušenství převezme, má podmínka povahu podmínky rozvazovací. Neodmítl-li kupující předmět koupě ve zkušební době, platí, že předmět koupě schválil.</w:t>
      </w:r>
    </w:p>
    <w:p w:rsidR="00226892" w:rsidRDefault="00376E45">
      <w:pPr>
        <w:numPr>
          <w:ilvl w:val="0"/>
          <w:numId w:val="12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Kupující nemá právo předmět koupě odmítnout, pokud jej nemůže vrátit ve stavu, v jakém jej převzal. Ke změnám vyvolaným vyzkoušením věci se nepřihlíží.</w:t>
      </w:r>
    </w:p>
    <w:p w:rsidR="00226892" w:rsidRDefault="00226892">
      <w:pPr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226892" w:rsidRDefault="00376E45">
      <w:pPr>
        <w:numPr>
          <w:ilvl w:val="0"/>
          <w:numId w:val="13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Výhrada zpětné koupě</w:t>
      </w:r>
    </w:p>
    <w:p w:rsidR="00226892" w:rsidRDefault="00376E45">
      <w:pPr>
        <w:numPr>
          <w:ilvl w:val="0"/>
          <w:numId w:val="13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Smluvní strany si sjednávají výhradu zpětné koupě. </w:t>
      </w:r>
    </w:p>
    <w:p w:rsidR="00226892" w:rsidRDefault="00376E45">
      <w:pPr>
        <w:numPr>
          <w:ilvl w:val="0"/>
          <w:numId w:val="13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Kupujícímu vzniká povinnost převést na požádání předmět koupě včetně jeho příslušenství prodávajícímu za úplatu zpět. Kupující vrátí prodávajícímu předmět koupě včetně jeho příslušenství v nezhoršeném stavu a prodávající vrátí kupujícímu uhrazenou kupní cenu.</w:t>
      </w:r>
    </w:p>
    <w:p w:rsidR="00226892" w:rsidRDefault="00376E45">
      <w:pPr>
        <w:numPr>
          <w:ilvl w:val="0"/>
          <w:numId w:val="13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Prodávající musí toto právo uplatnit písemnou výzvou, a to do 3 let ode dne převzetí předmětu koupě včetně jeho příslušenství kupujícím, jinak právo zpětné koupě zaniká.</w:t>
      </w:r>
    </w:p>
    <w:p w:rsidR="00226892" w:rsidRDefault="00226892">
      <w:pPr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226892" w:rsidRDefault="00376E45">
      <w:pPr>
        <w:numPr>
          <w:ilvl w:val="0"/>
          <w:numId w:val="14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Výhrada zpětného prodeje</w:t>
      </w:r>
    </w:p>
    <w:p w:rsidR="00226892" w:rsidRDefault="00376E45">
      <w:pPr>
        <w:numPr>
          <w:ilvl w:val="0"/>
          <w:numId w:val="14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Smluvní strany si sjednávají výhradu zpětného prodeje.</w:t>
      </w:r>
    </w:p>
    <w:p w:rsidR="00226892" w:rsidRDefault="00376E45">
      <w:pPr>
        <w:numPr>
          <w:ilvl w:val="0"/>
          <w:numId w:val="14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Kupující má právo předmět koupě včetně jeho příslušenství převést zpět na prodávajícího. Prodávající v takovém případě vrátí kupujícímu uhrazenou kupní cenu.</w:t>
      </w:r>
    </w:p>
    <w:p w:rsidR="00226892" w:rsidRDefault="00376E45">
      <w:pPr>
        <w:numPr>
          <w:ilvl w:val="0"/>
          <w:numId w:val="14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Kupující musí toto právo uplatnit písemně, a to do 3 let ode dne převzetí předmětu koupě včetně jeho příslušenství, jinak právo zpětného prodeje zaniká.</w:t>
      </w:r>
    </w:p>
    <w:p w:rsidR="00226892" w:rsidRDefault="00226892">
      <w:pPr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226892" w:rsidRDefault="00376E45">
      <w:pPr>
        <w:numPr>
          <w:ilvl w:val="0"/>
          <w:numId w:val="15"/>
        </w:numPr>
        <w:spacing w:before="60" w:after="6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Výhrada lepšího kupce</w:t>
      </w:r>
    </w:p>
    <w:p w:rsidR="00226892" w:rsidRDefault="00376E45">
      <w:pPr>
        <w:numPr>
          <w:ilvl w:val="0"/>
          <w:numId w:val="15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Smluvní strany si sjednávají výhradu lepšího kupce.</w:t>
      </w:r>
    </w:p>
    <w:p w:rsidR="00226892" w:rsidRDefault="00376E45">
      <w:pPr>
        <w:numPr>
          <w:ilvl w:val="0"/>
          <w:numId w:val="15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Prodávající nabývá právo dát přednost lepšímu kupci, pokud se přihlásí do tří dnů ode dne uzavření této smlouvy.</w:t>
      </w:r>
    </w:p>
    <w:p w:rsidR="00226892" w:rsidRDefault="00376E45">
      <w:pPr>
        <w:numPr>
          <w:ilvl w:val="0"/>
          <w:numId w:val="15"/>
        </w:numPr>
        <w:spacing w:before="60" w:after="6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O tom, zda je nový kupec lepší, rozhoduje prodávající, může tedy dát přednost novému kupci, i když první nabízí vyšší cenu.</w:t>
      </w:r>
    </w:p>
    <w:p w:rsidR="00226892" w:rsidRDefault="00226892">
      <w:pPr>
        <w:spacing w:before="60" w:after="60" w:line="32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26892" w:rsidRDefault="00226892">
      <w:pPr>
        <w:spacing w:before="60" w:after="60" w:line="32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26892" w:rsidRDefault="00376E45">
      <w:pPr>
        <w:numPr>
          <w:ilvl w:val="0"/>
          <w:numId w:val="16"/>
        </w:numPr>
        <w:spacing w:before="6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Závěrečná ustanovení</w:t>
      </w:r>
    </w:p>
    <w:p w:rsidR="00226892" w:rsidRDefault="00376E45">
      <w:pPr>
        <w:numPr>
          <w:ilvl w:val="0"/>
          <w:numId w:val="16"/>
        </w:numPr>
        <w:tabs>
          <w:tab w:val="left" w:pos="142"/>
        </w:tabs>
        <w:spacing w:before="60"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Práva a povinnosti touto smlouvou výslovně neupravené se řídí českým právním řádem, zejména zákonem č. 89/2012 Sb., občanský zákoník, v platném znění.</w:t>
      </w:r>
    </w:p>
    <w:p w:rsidR="00226892" w:rsidRDefault="00376E45">
      <w:pPr>
        <w:numPr>
          <w:ilvl w:val="0"/>
          <w:numId w:val="16"/>
        </w:numPr>
        <w:tabs>
          <w:tab w:val="left" w:pos="142"/>
        </w:tabs>
        <w:spacing w:before="60"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Změny a doplňky této smlouvy lze činit pouze písemně, číslovanými dodatky, podepsanými oběma smluvními stranami.</w:t>
      </w:r>
    </w:p>
    <w:p w:rsidR="00226892" w:rsidRDefault="00376E45">
      <w:pPr>
        <w:numPr>
          <w:ilvl w:val="0"/>
          <w:numId w:val="16"/>
        </w:numPr>
        <w:tabs>
          <w:tab w:val="left" w:pos="142"/>
        </w:tabs>
        <w:spacing w:before="60"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Tato smlouva nabývá platnosti a účinnosti dnem podpisu oběma smluvními stranami.</w:t>
      </w:r>
    </w:p>
    <w:p w:rsidR="00226892" w:rsidRDefault="00376E45">
      <w:pPr>
        <w:numPr>
          <w:ilvl w:val="0"/>
          <w:numId w:val="16"/>
        </w:numPr>
        <w:tabs>
          <w:tab w:val="left" w:pos="142"/>
        </w:tabs>
        <w:spacing w:before="60"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Tato smlouva je sepsána ve dvou vyhotoveních, přičemž po jednom z nich obdrží každá smluvní strana. </w:t>
      </w:r>
    </w:p>
    <w:p w:rsidR="00226892" w:rsidRDefault="00376E45">
      <w:pPr>
        <w:numPr>
          <w:ilvl w:val="0"/>
          <w:numId w:val="16"/>
        </w:numPr>
        <w:tabs>
          <w:tab w:val="left" w:pos="142"/>
        </w:tabs>
        <w:spacing w:before="60"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226892" w:rsidRDefault="0022689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376E45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7B1898">
        <w:rPr>
          <w:rFonts w:ascii="Times New Roman" w:eastAsia="Times New Roman" w:hAnsi="Times New Roman" w:cs="Times New Roman"/>
          <w:sz w:val="24"/>
        </w:rPr>
        <w:t>  Brně</w:t>
      </w:r>
      <w:r>
        <w:rPr>
          <w:rFonts w:ascii="Times New Roman" w:eastAsia="Times New Roman" w:hAnsi="Times New Roman" w:cs="Times New Roman"/>
          <w:sz w:val="24"/>
        </w:rPr>
        <w:t>.. dne…</w:t>
      </w:r>
      <w:r w:rsidR="007B1898">
        <w:rPr>
          <w:rFonts w:ascii="Times New Roman" w:eastAsia="Times New Roman" w:hAnsi="Times New Roman" w:cs="Times New Roman"/>
          <w:sz w:val="24"/>
        </w:rPr>
        <w:t>7. 7. 2021</w:t>
      </w:r>
      <w:r w:rsidR="007B1898">
        <w:rPr>
          <w:rFonts w:ascii="Times New Roman" w:eastAsia="Times New Roman" w:hAnsi="Times New Roman" w:cs="Times New Roman"/>
          <w:sz w:val="24"/>
        </w:rPr>
        <w:tab/>
      </w:r>
      <w:r w:rsidR="007B1898">
        <w:rPr>
          <w:rFonts w:ascii="Times New Roman" w:eastAsia="Times New Roman" w:hAnsi="Times New Roman" w:cs="Times New Roman"/>
          <w:sz w:val="24"/>
        </w:rPr>
        <w:tab/>
      </w:r>
      <w:r w:rsidR="007B1898">
        <w:rPr>
          <w:rFonts w:ascii="Times New Roman" w:eastAsia="Times New Roman" w:hAnsi="Times New Roman" w:cs="Times New Roman"/>
          <w:sz w:val="24"/>
        </w:rPr>
        <w:tab/>
      </w:r>
      <w:r w:rsidR="007B1898">
        <w:rPr>
          <w:rFonts w:ascii="Times New Roman" w:eastAsia="Times New Roman" w:hAnsi="Times New Roman" w:cs="Times New Roman"/>
          <w:sz w:val="24"/>
        </w:rPr>
        <w:tab/>
        <w:t>V   Kadani….. dne  7. 7. 2021</w:t>
      </w: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6892" w:rsidRDefault="007B189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Ondřej Wágner                                                                      Mgr. Stanislav Hakl</w:t>
      </w:r>
    </w:p>
    <w:p w:rsidR="00226892" w:rsidRDefault="00376E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</w:t>
      </w:r>
    </w:p>
    <w:p w:rsidR="00226892" w:rsidRDefault="00376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stranu prodávající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za stranu kupující</w:t>
      </w:r>
    </w:p>
    <w:p w:rsidR="00226892" w:rsidRDefault="00226892">
      <w:pPr>
        <w:spacing w:before="60" w:after="6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22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B81"/>
    <w:multiLevelType w:val="multilevel"/>
    <w:tmpl w:val="A4A01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11FE3"/>
    <w:multiLevelType w:val="multilevel"/>
    <w:tmpl w:val="EEEA3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356D9"/>
    <w:multiLevelType w:val="multilevel"/>
    <w:tmpl w:val="0DB40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440F7"/>
    <w:multiLevelType w:val="multilevel"/>
    <w:tmpl w:val="E486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57738"/>
    <w:multiLevelType w:val="multilevel"/>
    <w:tmpl w:val="C46AD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BD3E9E"/>
    <w:multiLevelType w:val="multilevel"/>
    <w:tmpl w:val="DB469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906AD1"/>
    <w:multiLevelType w:val="multilevel"/>
    <w:tmpl w:val="33CC7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03936"/>
    <w:multiLevelType w:val="multilevel"/>
    <w:tmpl w:val="0408F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5C6B89"/>
    <w:multiLevelType w:val="multilevel"/>
    <w:tmpl w:val="788C3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3C12E0"/>
    <w:multiLevelType w:val="multilevel"/>
    <w:tmpl w:val="BD4CA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2D1987"/>
    <w:multiLevelType w:val="multilevel"/>
    <w:tmpl w:val="0C5ED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4F71D8"/>
    <w:multiLevelType w:val="multilevel"/>
    <w:tmpl w:val="67A6D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DA34FD"/>
    <w:multiLevelType w:val="multilevel"/>
    <w:tmpl w:val="10F62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ED6DC0"/>
    <w:multiLevelType w:val="multilevel"/>
    <w:tmpl w:val="6FC07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372AC1"/>
    <w:multiLevelType w:val="multilevel"/>
    <w:tmpl w:val="CADC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973415"/>
    <w:multiLevelType w:val="multilevel"/>
    <w:tmpl w:val="82FC5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13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6892"/>
    <w:rsid w:val="00226892"/>
    <w:rsid w:val="00376E45"/>
    <w:rsid w:val="007B1898"/>
    <w:rsid w:val="00F4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1CA8"/>
  <w15:docId w15:val="{84CF1660-2AF2-493E-9417-FADA209C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1099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Miroslava Birosova</cp:lastModifiedBy>
  <cp:revision>5</cp:revision>
  <dcterms:created xsi:type="dcterms:W3CDTF">2021-07-14T12:22:00Z</dcterms:created>
  <dcterms:modified xsi:type="dcterms:W3CDTF">2021-07-15T08:21:00Z</dcterms:modified>
</cp:coreProperties>
</file>