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06CB" w14:textId="77777777" w:rsidR="00190C88" w:rsidRPr="00190C88" w:rsidRDefault="00190C88" w:rsidP="00190C88">
      <w:pPr>
        <w:pStyle w:val="Default"/>
        <w:spacing w:line="276" w:lineRule="auto"/>
        <w:rPr>
          <w:rFonts w:ascii="Arial" w:hAnsi="Arial" w:cs="Arial"/>
          <w:b/>
          <w:color w:val="auto"/>
          <w:sz w:val="20"/>
          <w:szCs w:val="20"/>
          <w:lang w:val="en-GB"/>
        </w:rPr>
      </w:pPr>
      <w:r w:rsidRPr="00190C88">
        <w:rPr>
          <w:rFonts w:ascii="Arial" w:hAnsi="Arial" w:cs="Arial"/>
          <w:b/>
          <w:color w:val="auto"/>
          <w:sz w:val="20"/>
          <w:szCs w:val="20"/>
          <w:lang w:val="en-GB"/>
        </w:rPr>
        <w:t>Annex 2</w:t>
      </w:r>
    </w:p>
    <w:p w14:paraId="632A5982" w14:textId="77777777" w:rsidR="00190C88" w:rsidRPr="00190C88" w:rsidRDefault="00190C88" w:rsidP="00190C88">
      <w:pPr>
        <w:pStyle w:val="Default"/>
        <w:spacing w:line="276" w:lineRule="auto"/>
        <w:rPr>
          <w:color w:val="auto"/>
          <w:lang w:val="en-GB"/>
        </w:rPr>
      </w:pPr>
    </w:p>
    <w:p w14:paraId="6AB8C02B" w14:textId="77777777" w:rsidR="00190C88" w:rsidRPr="00190C88" w:rsidRDefault="00190C88" w:rsidP="00190C88">
      <w:pPr>
        <w:pStyle w:val="Default"/>
        <w:spacing w:line="276" w:lineRule="auto"/>
        <w:jc w:val="center"/>
        <w:rPr>
          <w:color w:val="auto"/>
          <w:sz w:val="56"/>
          <w:szCs w:val="56"/>
          <w:lang w:val="en-GB"/>
        </w:rPr>
      </w:pPr>
      <w:r w:rsidRPr="00190C88">
        <w:rPr>
          <w:color w:val="auto"/>
          <w:sz w:val="56"/>
          <w:szCs w:val="56"/>
          <w:lang w:val="en-GB"/>
        </w:rPr>
        <w:t>Technical Offer</w:t>
      </w:r>
    </w:p>
    <w:p w14:paraId="4CB119B2" w14:textId="77777777" w:rsidR="00190C88" w:rsidRPr="00190C88" w:rsidRDefault="00190C88" w:rsidP="00190C88">
      <w:pPr>
        <w:pStyle w:val="Default"/>
        <w:spacing w:line="276" w:lineRule="auto"/>
        <w:rPr>
          <w:color w:val="auto"/>
          <w:sz w:val="22"/>
          <w:szCs w:val="22"/>
          <w:lang w:val="en-GB"/>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4131"/>
        <w:gridCol w:w="5191"/>
      </w:tblGrid>
      <w:tr w:rsidR="00190C88" w:rsidRPr="00190C88" w14:paraId="49DF456F" w14:textId="77777777" w:rsidTr="00B15D48">
        <w:trPr>
          <w:trHeight w:val="110"/>
        </w:trPr>
        <w:tc>
          <w:tcPr>
            <w:tcW w:w="4131" w:type="dxa"/>
          </w:tcPr>
          <w:p w14:paraId="4133A6F8" w14:textId="77777777" w:rsidR="00190C88" w:rsidRPr="00190C88" w:rsidRDefault="00190C88" w:rsidP="00190C88">
            <w:pPr>
              <w:pStyle w:val="Default"/>
              <w:spacing w:line="276" w:lineRule="auto"/>
              <w:rPr>
                <w:color w:val="auto"/>
                <w:lang w:val="en-GB"/>
              </w:rPr>
            </w:pPr>
            <w:r w:rsidRPr="00190C88">
              <w:rPr>
                <w:color w:val="auto"/>
                <w:sz w:val="32"/>
                <w:szCs w:val="32"/>
                <w:lang w:val="en-GB"/>
              </w:rPr>
              <w:t xml:space="preserve">1. Device Specifications </w:t>
            </w:r>
          </w:p>
          <w:p w14:paraId="759941BF" w14:textId="77777777" w:rsidR="00190C88" w:rsidRPr="00190C88" w:rsidRDefault="00190C88" w:rsidP="00190C88">
            <w:pPr>
              <w:pStyle w:val="Default"/>
              <w:spacing w:line="276" w:lineRule="auto"/>
              <w:rPr>
                <w:b/>
                <w:bCs/>
                <w:sz w:val="22"/>
                <w:szCs w:val="22"/>
                <w:lang w:val="en-GB"/>
              </w:rPr>
            </w:pPr>
          </w:p>
          <w:p w14:paraId="137C2B6F"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1. Device name </w:t>
            </w:r>
          </w:p>
          <w:p w14:paraId="1D9AFC4C" w14:textId="77777777" w:rsidR="00190C88" w:rsidRPr="00190C88" w:rsidRDefault="00190C88" w:rsidP="00190C88">
            <w:pPr>
              <w:pStyle w:val="Default"/>
              <w:spacing w:line="276" w:lineRule="auto"/>
              <w:rPr>
                <w:sz w:val="22"/>
                <w:szCs w:val="22"/>
                <w:lang w:val="en-GB"/>
              </w:rPr>
            </w:pPr>
          </w:p>
        </w:tc>
        <w:tc>
          <w:tcPr>
            <w:tcW w:w="5191" w:type="dxa"/>
          </w:tcPr>
          <w:p w14:paraId="5DCDA136" w14:textId="77777777" w:rsidR="00190C88" w:rsidRPr="00190C88" w:rsidRDefault="00190C88" w:rsidP="00190C88">
            <w:pPr>
              <w:pStyle w:val="Default"/>
              <w:spacing w:line="276" w:lineRule="auto"/>
              <w:rPr>
                <w:sz w:val="22"/>
                <w:szCs w:val="22"/>
                <w:lang w:val="en-GB"/>
              </w:rPr>
            </w:pPr>
          </w:p>
          <w:p w14:paraId="34AE77E6" w14:textId="77777777" w:rsidR="00190C88" w:rsidRPr="00190C88" w:rsidRDefault="00190C88" w:rsidP="00190C88">
            <w:pPr>
              <w:pStyle w:val="Default"/>
              <w:spacing w:line="276" w:lineRule="auto"/>
              <w:rPr>
                <w:sz w:val="22"/>
                <w:szCs w:val="22"/>
                <w:lang w:val="en-GB"/>
              </w:rPr>
            </w:pPr>
          </w:p>
          <w:p w14:paraId="243A7FE2" w14:textId="77777777" w:rsidR="00190C88" w:rsidRPr="00190C88" w:rsidRDefault="00190C88" w:rsidP="00190C88">
            <w:pPr>
              <w:pStyle w:val="Default"/>
              <w:spacing w:line="276" w:lineRule="auto"/>
              <w:rPr>
                <w:sz w:val="22"/>
                <w:szCs w:val="22"/>
                <w:lang w:val="en-GB"/>
              </w:rPr>
            </w:pPr>
          </w:p>
          <w:p w14:paraId="7348C5F5" w14:textId="77777777" w:rsidR="00190C88" w:rsidRPr="00190C88" w:rsidRDefault="00190C88" w:rsidP="00190C88">
            <w:pPr>
              <w:pStyle w:val="Default"/>
              <w:spacing w:line="276" w:lineRule="auto"/>
              <w:rPr>
                <w:sz w:val="22"/>
                <w:szCs w:val="22"/>
                <w:lang w:val="en-GB"/>
              </w:rPr>
            </w:pPr>
            <w:r w:rsidRPr="00190C88">
              <w:rPr>
                <w:sz w:val="22"/>
                <w:szCs w:val="22"/>
                <w:lang w:val="en-GB"/>
              </w:rPr>
              <w:t>Neutral cluster and Air Ion Spectrometer</w:t>
            </w:r>
          </w:p>
        </w:tc>
      </w:tr>
      <w:tr w:rsidR="00190C88" w:rsidRPr="00190C88" w14:paraId="702514B8" w14:textId="77777777" w:rsidTr="00B15D48">
        <w:trPr>
          <w:trHeight w:val="110"/>
        </w:trPr>
        <w:tc>
          <w:tcPr>
            <w:tcW w:w="4131" w:type="dxa"/>
          </w:tcPr>
          <w:p w14:paraId="15778FDD"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2. Model </w:t>
            </w:r>
          </w:p>
          <w:p w14:paraId="26D6D147" w14:textId="77777777" w:rsidR="00190C88" w:rsidRPr="00190C88" w:rsidRDefault="00190C88" w:rsidP="00190C88">
            <w:pPr>
              <w:pStyle w:val="Default"/>
              <w:spacing w:line="276" w:lineRule="auto"/>
              <w:rPr>
                <w:sz w:val="22"/>
                <w:szCs w:val="22"/>
                <w:lang w:val="en-GB"/>
              </w:rPr>
            </w:pPr>
          </w:p>
        </w:tc>
        <w:tc>
          <w:tcPr>
            <w:tcW w:w="5191" w:type="dxa"/>
          </w:tcPr>
          <w:p w14:paraId="1A2748EB"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NAIS 103.5 </w:t>
            </w:r>
          </w:p>
        </w:tc>
      </w:tr>
      <w:tr w:rsidR="00190C88" w:rsidRPr="00190C88" w14:paraId="4CC972F9" w14:textId="77777777" w:rsidTr="00B15D48">
        <w:trPr>
          <w:trHeight w:val="400"/>
        </w:trPr>
        <w:tc>
          <w:tcPr>
            <w:tcW w:w="4131" w:type="dxa"/>
          </w:tcPr>
          <w:p w14:paraId="5998BD45"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3. Producer </w:t>
            </w:r>
          </w:p>
          <w:p w14:paraId="53A1E598" w14:textId="77777777" w:rsidR="00190C88" w:rsidRPr="00190C88" w:rsidRDefault="00190C88" w:rsidP="00190C88">
            <w:pPr>
              <w:pStyle w:val="Default"/>
              <w:spacing w:line="276" w:lineRule="auto"/>
              <w:rPr>
                <w:sz w:val="22"/>
                <w:szCs w:val="22"/>
                <w:lang w:val="en-GB"/>
              </w:rPr>
            </w:pPr>
          </w:p>
        </w:tc>
        <w:tc>
          <w:tcPr>
            <w:tcW w:w="5191" w:type="dxa"/>
          </w:tcPr>
          <w:p w14:paraId="04F1D6C8" w14:textId="77777777" w:rsidR="00190C88" w:rsidRPr="00190C88" w:rsidRDefault="00190C88" w:rsidP="00190C88">
            <w:pPr>
              <w:pStyle w:val="Default"/>
              <w:spacing w:line="276" w:lineRule="auto"/>
              <w:rPr>
                <w:sz w:val="22"/>
                <w:szCs w:val="22"/>
                <w:lang w:val="en-GB"/>
              </w:rPr>
            </w:pPr>
            <w:proofErr w:type="spellStart"/>
            <w:r w:rsidRPr="00190C88">
              <w:rPr>
                <w:sz w:val="22"/>
                <w:szCs w:val="22"/>
                <w:lang w:val="en-GB"/>
              </w:rPr>
              <w:t>Airel</w:t>
            </w:r>
            <w:proofErr w:type="spellEnd"/>
            <w:r w:rsidRPr="00190C88">
              <w:rPr>
                <w:sz w:val="22"/>
                <w:szCs w:val="22"/>
                <w:lang w:val="en-GB"/>
              </w:rPr>
              <w:t xml:space="preserve"> Ltd. </w:t>
            </w:r>
            <w:proofErr w:type="spellStart"/>
            <w:r w:rsidRPr="00190C88">
              <w:rPr>
                <w:sz w:val="22"/>
                <w:szCs w:val="22"/>
                <w:lang w:val="en-GB"/>
              </w:rPr>
              <w:t>Observatooriumi</w:t>
            </w:r>
            <w:proofErr w:type="spellEnd"/>
            <w:r w:rsidRPr="00190C88">
              <w:rPr>
                <w:sz w:val="22"/>
                <w:szCs w:val="22"/>
                <w:lang w:val="en-GB"/>
              </w:rPr>
              <w:t xml:space="preserve"> 5, 61602 </w:t>
            </w:r>
            <w:proofErr w:type="spellStart"/>
            <w:r w:rsidRPr="00190C88">
              <w:rPr>
                <w:sz w:val="22"/>
                <w:szCs w:val="22"/>
                <w:lang w:val="en-GB"/>
              </w:rPr>
              <w:t>Tõravere</w:t>
            </w:r>
            <w:proofErr w:type="spellEnd"/>
            <w:r w:rsidRPr="00190C88">
              <w:rPr>
                <w:sz w:val="22"/>
                <w:szCs w:val="22"/>
                <w:lang w:val="en-GB"/>
              </w:rPr>
              <w:t xml:space="preserve">, Estonia </w:t>
            </w:r>
          </w:p>
        </w:tc>
      </w:tr>
      <w:tr w:rsidR="00190C88" w:rsidRPr="00190C88" w14:paraId="4839D631" w14:textId="77777777" w:rsidTr="00B15D48">
        <w:trPr>
          <w:trHeight w:val="110"/>
        </w:trPr>
        <w:tc>
          <w:tcPr>
            <w:tcW w:w="9322" w:type="dxa"/>
            <w:gridSpan w:val="2"/>
          </w:tcPr>
          <w:p w14:paraId="674C9CC3"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4. Measurement Range </w:t>
            </w:r>
          </w:p>
          <w:p w14:paraId="0126CAAC" w14:textId="77777777" w:rsidR="00190C88" w:rsidRPr="00190C88" w:rsidRDefault="00190C88" w:rsidP="00190C88">
            <w:pPr>
              <w:pStyle w:val="Default"/>
              <w:spacing w:line="276" w:lineRule="auto"/>
              <w:rPr>
                <w:sz w:val="22"/>
                <w:szCs w:val="22"/>
                <w:lang w:val="en-GB"/>
              </w:rPr>
            </w:pPr>
          </w:p>
        </w:tc>
      </w:tr>
      <w:tr w:rsidR="00190C88" w:rsidRPr="00190C88" w14:paraId="4AAC6414" w14:textId="77777777" w:rsidTr="00B15D48">
        <w:trPr>
          <w:trHeight w:val="110"/>
        </w:trPr>
        <w:tc>
          <w:tcPr>
            <w:tcW w:w="4131" w:type="dxa"/>
          </w:tcPr>
          <w:p w14:paraId="6DDAE7FF"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Particle distribution </w:t>
            </w:r>
          </w:p>
        </w:tc>
        <w:tc>
          <w:tcPr>
            <w:tcW w:w="5191" w:type="dxa"/>
          </w:tcPr>
          <w:p w14:paraId="020310E9"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from ~ 2 to 40 nm </w:t>
            </w:r>
          </w:p>
        </w:tc>
      </w:tr>
      <w:tr w:rsidR="00190C88" w:rsidRPr="00190C88" w14:paraId="66EBD47E" w14:textId="77777777" w:rsidTr="00B15D48">
        <w:trPr>
          <w:trHeight w:val="264"/>
        </w:trPr>
        <w:tc>
          <w:tcPr>
            <w:tcW w:w="4131" w:type="dxa"/>
          </w:tcPr>
          <w:p w14:paraId="52883E44" w14:textId="77777777" w:rsidR="00190C88" w:rsidRPr="00190C88" w:rsidRDefault="00190C88" w:rsidP="00190C88">
            <w:pPr>
              <w:pStyle w:val="Default"/>
              <w:spacing w:line="276" w:lineRule="auto"/>
              <w:rPr>
                <w:sz w:val="22"/>
                <w:szCs w:val="22"/>
                <w:lang w:val="en-GB"/>
              </w:rPr>
            </w:pPr>
          </w:p>
          <w:p w14:paraId="4FC98FDE"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Ion distribution </w:t>
            </w:r>
          </w:p>
        </w:tc>
        <w:tc>
          <w:tcPr>
            <w:tcW w:w="5191" w:type="dxa"/>
          </w:tcPr>
          <w:p w14:paraId="02A11756" w14:textId="77777777" w:rsidR="00190C88" w:rsidRPr="00190C88" w:rsidRDefault="00190C88" w:rsidP="00190C88">
            <w:pPr>
              <w:pStyle w:val="Default"/>
              <w:spacing w:line="276" w:lineRule="auto"/>
              <w:rPr>
                <w:sz w:val="22"/>
                <w:szCs w:val="22"/>
                <w:lang w:val="en-GB"/>
              </w:rPr>
            </w:pPr>
          </w:p>
          <w:p w14:paraId="7908EFFE" w14:textId="77777777" w:rsidR="00190C88" w:rsidRPr="00190C88" w:rsidRDefault="00190C88" w:rsidP="00190C88">
            <w:pPr>
              <w:pStyle w:val="Default"/>
              <w:spacing w:line="276" w:lineRule="auto"/>
              <w:rPr>
                <w:sz w:val="22"/>
                <w:szCs w:val="22"/>
                <w:lang w:val="en-GB"/>
              </w:rPr>
            </w:pPr>
            <w:r w:rsidRPr="00190C88">
              <w:rPr>
                <w:sz w:val="22"/>
                <w:szCs w:val="22"/>
                <w:lang w:val="en-GB"/>
              </w:rPr>
              <w:t>from 3.3 to 0.0013 cm</w:t>
            </w:r>
            <w:r w:rsidRPr="00190C88">
              <w:rPr>
                <w:sz w:val="14"/>
                <w:szCs w:val="14"/>
                <w:lang w:val="en-GB"/>
              </w:rPr>
              <w:t>2</w:t>
            </w:r>
            <w:r w:rsidRPr="00190C88">
              <w:rPr>
                <w:sz w:val="22"/>
                <w:szCs w:val="22"/>
                <w:lang w:val="en-GB"/>
              </w:rPr>
              <w:t xml:space="preserve">/V/s equivalent size from 0.8 to 40 nm </w:t>
            </w:r>
          </w:p>
        </w:tc>
      </w:tr>
      <w:tr w:rsidR="00190C88" w:rsidRPr="00190C88" w14:paraId="274CFE8F" w14:textId="77777777" w:rsidTr="00B15D48">
        <w:trPr>
          <w:trHeight w:val="256"/>
        </w:trPr>
        <w:tc>
          <w:tcPr>
            <w:tcW w:w="4131" w:type="dxa"/>
          </w:tcPr>
          <w:p w14:paraId="0043C1DD" w14:textId="77777777" w:rsidR="00190C88" w:rsidRPr="00190C88" w:rsidRDefault="00190C88" w:rsidP="00190C88">
            <w:pPr>
              <w:pStyle w:val="Default"/>
              <w:spacing w:line="276" w:lineRule="auto"/>
              <w:rPr>
                <w:color w:val="auto"/>
                <w:lang w:val="en-GB"/>
              </w:rPr>
            </w:pPr>
          </w:p>
          <w:p w14:paraId="4270F7D4"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5. Measurement Principle </w:t>
            </w:r>
          </w:p>
          <w:p w14:paraId="02E050DE" w14:textId="77777777" w:rsidR="00190C88" w:rsidRPr="00190C88" w:rsidRDefault="00190C88" w:rsidP="00190C88">
            <w:pPr>
              <w:pStyle w:val="Default"/>
              <w:spacing w:line="276" w:lineRule="auto"/>
              <w:rPr>
                <w:sz w:val="22"/>
                <w:szCs w:val="22"/>
                <w:lang w:val="en-GB"/>
              </w:rPr>
            </w:pPr>
          </w:p>
        </w:tc>
        <w:tc>
          <w:tcPr>
            <w:tcW w:w="5191" w:type="dxa"/>
          </w:tcPr>
          <w:p w14:paraId="728B1622" w14:textId="77777777" w:rsidR="00190C88" w:rsidRPr="00190C88" w:rsidRDefault="00190C88" w:rsidP="00190C88">
            <w:pPr>
              <w:pStyle w:val="Default"/>
              <w:spacing w:line="276" w:lineRule="auto"/>
              <w:rPr>
                <w:sz w:val="22"/>
                <w:szCs w:val="22"/>
                <w:lang w:val="en-GB"/>
              </w:rPr>
            </w:pPr>
          </w:p>
          <w:p w14:paraId="5CDD0D1D"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Parallel differential mobility analysis with optional unipolar charging </w:t>
            </w:r>
          </w:p>
        </w:tc>
      </w:tr>
      <w:tr w:rsidR="00190C88" w:rsidRPr="00190C88" w14:paraId="5F370C08" w14:textId="77777777" w:rsidTr="00B15D48">
        <w:trPr>
          <w:trHeight w:val="110"/>
        </w:trPr>
        <w:tc>
          <w:tcPr>
            <w:tcW w:w="4131" w:type="dxa"/>
          </w:tcPr>
          <w:p w14:paraId="4FCE7270" w14:textId="77777777" w:rsidR="00190C88" w:rsidRPr="00190C88" w:rsidRDefault="00190C88" w:rsidP="00190C88">
            <w:pPr>
              <w:pStyle w:val="Default"/>
              <w:spacing w:line="276" w:lineRule="auto"/>
              <w:rPr>
                <w:color w:val="auto"/>
                <w:lang w:val="en-GB"/>
              </w:rPr>
            </w:pPr>
          </w:p>
          <w:p w14:paraId="3E091F42"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6. Sample Flow Rate </w:t>
            </w:r>
          </w:p>
          <w:p w14:paraId="7F010861" w14:textId="77777777" w:rsidR="00190C88" w:rsidRPr="00190C88" w:rsidRDefault="00190C88" w:rsidP="00190C88">
            <w:pPr>
              <w:pStyle w:val="Default"/>
              <w:spacing w:line="276" w:lineRule="auto"/>
              <w:rPr>
                <w:sz w:val="22"/>
                <w:szCs w:val="22"/>
                <w:lang w:val="en-GB"/>
              </w:rPr>
            </w:pPr>
          </w:p>
        </w:tc>
        <w:tc>
          <w:tcPr>
            <w:tcW w:w="5191" w:type="dxa"/>
          </w:tcPr>
          <w:p w14:paraId="65AB7689" w14:textId="77777777" w:rsidR="00190C88" w:rsidRPr="00190C88" w:rsidRDefault="00190C88" w:rsidP="00190C88">
            <w:pPr>
              <w:pStyle w:val="Default"/>
              <w:spacing w:line="276" w:lineRule="auto"/>
              <w:rPr>
                <w:sz w:val="22"/>
                <w:szCs w:val="22"/>
                <w:lang w:val="en-GB"/>
              </w:rPr>
            </w:pPr>
          </w:p>
          <w:p w14:paraId="7DEF4500"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54 l/min </w:t>
            </w:r>
          </w:p>
        </w:tc>
      </w:tr>
      <w:tr w:rsidR="00190C88" w:rsidRPr="00190C88" w14:paraId="61F3DA18" w14:textId="77777777" w:rsidTr="00B15D48">
        <w:trPr>
          <w:trHeight w:val="400"/>
        </w:trPr>
        <w:tc>
          <w:tcPr>
            <w:tcW w:w="4131" w:type="dxa"/>
          </w:tcPr>
          <w:p w14:paraId="5DD572A2"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7. Time Resolution </w:t>
            </w:r>
          </w:p>
          <w:p w14:paraId="609BA7FC" w14:textId="77777777" w:rsidR="00190C88" w:rsidRPr="00190C88" w:rsidRDefault="00190C88" w:rsidP="00190C88">
            <w:pPr>
              <w:pStyle w:val="Default"/>
              <w:spacing w:line="276" w:lineRule="auto"/>
              <w:rPr>
                <w:sz w:val="22"/>
                <w:szCs w:val="22"/>
                <w:lang w:val="en-GB"/>
              </w:rPr>
            </w:pPr>
          </w:p>
        </w:tc>
        <w:tc>
          <w:tcPr>
            <w:tcW w:w="5191" w:type="dxa"/>
          </w:tcPr>
          <w:p w14:paraId="4E886768"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1 second 1 – </w:t>
            </w:r>
            <w:proofErr w:type="gramStart"/>
            <w:r w:rsidRPr="00190C88">
              <w:rPr>
                <w:sz w:val="22"/>
                <w:szCs w:val="22"/>
                <w:lang w:val="en-GB"/>
              </w:rPr>
              <w:t>5</w:t>
            </w:r>
            <w:r w:rsidR="005E2485">
              <w:rPr>
                <w:sz w:val="22"/>
                <w:szCs w:val="22"/>
                <w:lang w:val="en-GB"/>
              </w:rPr>
              <w:t xml:space="preserve"> </w:t>
            </w:r>
            <w:r w:rsidRPr="00190C88">
              <w:rPr>
                <w:sz w:val="22"/>
                <w:szCs w:val="22"/>
                <w:lang w:val="en-GB"/>
              </w:rPr>
              <w:t>minute</w:t>
            </w:r>
            <w:proofErr w:type="gramEnd"/>
            <w:r w:rsidRPr="00190C88">
              <w:rPr>
                <w:sz w:val="22"/>
                <w:szCs w:val="22"/>
                <w:lang w:val="en-GB"/>
              </w:rPr>
              <w:t xml:space="preserve"> averages typically used during long-term monitoring </w:t>
            </w:r>
          </w:p>
        </w:tc>
      </w:tr>
      <w:tr w:rsidR="00190C88" w:rsidRPr="00190C88" w14:paraId="5FC6C330" w14:textId="77777777" w:rsidTr="00B15D48">
        <w:trPr>
          <w:trHeight w:val="400"/>
        </w:trPr>
        <w:tc>
          <w:tcPr>
            <w:tcW w:w="4131" w:type="dxa"/>
          </w:tcPr>
          <w:p w14:paraId="6302B856" w14:textId="77777777" w:rsidR="00190C88" w:rsidRPr="00190C88" w:rsidRDefault="00190C88" w:rsidP="00190C88">
            <w:pPr>
              <w:pStyle w:val="Default"/>
              <w:spacing w:line="276" w:lineRule="auto"/>
              <w:rPr>
                <w:color w:val="auto"/>
                <w:lang w:val="en-GB"/>
              </w:rPr>
            </w:pPr>
          </w:p>
          <w:p w14:paraId="7A66B17A"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8. Data Processing </w:t>
            </w:r>
          </w:p>
          <w:p w14:paraId="50B38749" w14:textId="77777777" w:rsidR="00190C88" w:rsidRPr="00190C88" w:rsidRDefault="00190C88" w:rsidP="00190C88">
            <w:pPr>
              <w:pStyle w:val="Default"/>
              <w:spacing w:line="276" w:lineRule="auto"/>
              <w:rPr>
                <w:sz w:val="22"/>
                <w:szCs w:val="22"/>
                <w:lang w:val="en-GB"/>
              </w:rPr>
            </w:pPr>
          </w:p>
        </w:tc>
        <w:tc>
          <w:tcPr>
            <w:tcW w:w="5191" w:type="dxa"/>
          </w:tcPr>
          <w:p w14:paraId="1259E000" w14:textId="77777777" w:rsidR="00190C88" w:rsidRPr="00190C88" w:rsidRDefault="00190C88" w:rsidP="00190C88">
            <w:pPr>
              <w:pStyle w:val="Default"/>
              <w:spacing w:line="276" w:lineRule="auto"/>
              <w:rPr>
                <w:sz w:val="22"/>
                <w:szCs w:val="22"/>
                <w:lang w:val="en-GB"/>
              </w:rPr>
            </w:pPr>
          </w:p>
          <w:p w14:paraId="1CF329BB"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Measurement distributions available immediately in real-time. </w:t>
            </w:r>
          </w:p>
          <w:p w14:paraId="3794BA95"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Processed and corrected data available within 1 – 5 minutes. </w:t>
            </w:r>
          </w:p>
        </w:tc>
      </w:tr>
      <w:tr w:rsidR="00190C88" w:rsidRPr="00190C88" w14:paraId="0A898E1C" w14:textId="77777777" w:rsidTr="00B15D48">
        <w:trPr>
          <w:trHeight w:val="254"/>
        </w:trPr>
        <w:tc>
          <w:tcPr>
            <w:tcW w:w="4131" w:type="dxa"/>
          </w:tcPr>
          <w:p w14:paraId="673AF934" w14:textId="77777777" w:rsidR="00190C88" w:rsidRPr="00190C88" w:rsidRDefault="00190C88" w:rsidP="00190C88">
            <w:pPr>
              <w:pStyle w:val="Default"/>
              <w:spacing w:line="276" w:lineRule="auto"/>
              <w:rPr>
                <w:color w:val="auto"/>
                <w:lang w:val="en-GB"/>
              </w:rPr>
            </w:pPr>
          </w:p>
          <w:p w14:paraId="5C7727E4"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9. Data Output </w:t>
            </w:r>
          </w:p>
          <w:p w14:paraId="62423429" w14:textId="77777777" w:rsidR="00190C88" w:rsidRPr="00190C88" w:rsidRDefault="00190C88" w:rsidP="00190C88">
            <w:pPr>
              <w:pStyle w:val="Default"/>
              <w:spacing w:line="276" w:lineRule="auto"/>
              <w:rPr>
                <w:sz w:val="22"/>
                <w:szCs w:val="22"/>
                <w:lang w:val="en-GB"/>
              </w:rPr>
            </w:pPr>
          </w:p>
        </w:tc>
        <w:tc>
          <w:tcPr>
            <w:tcW w:w="5191" w:type="dxa"/>
          </w:tcPr>
          <w:p w14:paraId="20D7FD09" w14:textId="77777777" w:rsidR="00190C88" w:rsidRPr="00190C88" w:rsidRDefault="00190C88" w:rsidP="00190C88">
            <w:pPr>
              <w:pStyle w:val="Default"/>
              <w:spacing w:line="276" w:lineRule="auto"/>
              <w:rPr>
                <w:sz w:val="22"/>
                <w:szCs w:val="22"/>
                <w:lang w:val="en-GB"/>
              </w:rPr>
            </w:pPr>
          </w:p>
          <w:p w14:paraId="19130A94"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Plain text files, tab separated values with additional metadata in header. </w:t>
            </w:r>
          </w:p>
        </w:tc>
      </w:tr>
      <w:tr w:rsidR="00190C88" w:rsidRPr="00190C88" w14:paraId="3BDA0FB2" w14:textId="77777777" w:rsidTr="00B15D48">
        <w:trPr>
          <w:trHeight w:val="110"/>
        </w:trPr>
        <w:tc>
          <w:tcPr>
            <w:tcW w:w="4131" w:type="dxa"/>
          </w:tcPr>
          <w:p w14:paraId="5A1D8071" w14:textId="77777777" w:rsidR="00190C88" w:rsidRPr="00190C88" w:rsidRDefault="00190C88" w:rsidP="00190C88">
            <w:pPr>
              <w:pStyle w:val="Default"/>
              <w:spacing w:line="276" w:lineRule="auto"/>
              <w:rPr>
                <w:color w:val="auto"/>
                <w:lang w:val="en-GB"/>
              </w:rPr>
            </w:pPr>
          </w:p>
          <w:p w14:paraId="38D558B3"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10. Operating Temperature </w:t>
            </w:r>
          </w:p>
          <w:p w14:paraId="6BB8A936" w14:textId="77777777" w:rsidR="00190C88" w:rsidRPr="00190C88" w:rsidRDefault="00190C88" w:rsidP="00190C88">
            <w:pPr>
              <w:pStyle w:val="Default"/>
              <w:spacing w:line="276" w:lineRule="auto"/>
              <w:rPr>
                <w:sz w:val="22"/>
                <w:szCs w:val="22"/>
                <w:lang w:val="en-GB"/>
              </w:rPr>
            </w:pPr>
          </w:p>
        </w:tc>
        <w:tc>
          <w:tcPr>
            <w:tcW w:w="5191" w:type="dxa"/>
          </w:tcPr>
          <w:p w14:paraId="264062D2" w14:textId="77777777" w:rsidR="00190C88" w:rsidRPr="00190C88" w:rsidRDefault="00190C88" w:rsidP="00190C88">
            <w:pPr>
              <w:pStyle w:val="Default"/>
              <w:spacing w:line="276" w:lineRule="auto"/>
              <w:rPr>
                <w:sz w:val="22"/>
                <w:szCs w:val="22"/>
                <w:lang w:val="en-GB"/>
              </w:rPr>
            </w:pPr>
          </w:p>
          <w:p w14:paraId="0F1BE2D7"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-20 to 40 °C </w:t>
            </w:r>
          </w:p>
        </w:tc>
      </w:tr>
      <w:tr w:rsidR="00190C88" w:rsidRPr="00190C88" w14:paraId="29836329" w14:textId="77777777" w:rsidTr="00B15D48">
        <w:trPr>
          <w:trHeight w:val="110"/>
        </w:trPr>
        <w:tc>
          <w:tcPr>
            <w:tcW w:w="4131" w:type="dxa"/>
          </w:tcPr>
          <w:p w14:paraId="37990558"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11. Sample Air Pressure </w:t>
            </w:r>
          </w:p>
          <w:p w14:paraId="046EC71B" w14:textId="77777777" w:rsidR="00190C88" w:rsidRPr="00190C88" w:rsidRDefault="00190C88" w:rsidP="00190C88">
            <w:pPr>
              <w:pStyle w:val="Default"/>
              <w:spacing w:line="276" w:lineRule="auto"/>
              <w:rPr>
                <w:sz w:val="22"/>
                <w:szCs w:val="22"/>
                <w:lang w:val="en-GB"/>
              </w:rPr>
            </w:pPr>
          </w:p>
        </w:tc>
        <w:tc>
          <w:tcPr>
            <w:tcW w:w="5191" w:type="dxa"/>
          </w:tcPr>
          <w:p w14:paraId="28D90AE3"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300 to 1200 </w:t>
            </w:r>
            <w:proofErr w:type="spellStart"/>
            <w:r w:rsidRPr="00190C88">
              <w:rPr>
                <w:sz w:val="22"/>
                <w:szCs w:val="22"/>
                <w:lang w:val="en-GB"/>
              </w:rPr>
              <w:t>hPa</w:t>
            </w:r>
            <w:proofErr w:type="spellEnd"/>
            <w:r w:rsidRPr="00190C88">
              <w:rPr>
                <w:sz w:val="22"/>
                <w:szCs w:val="22"/>
                <w:lang w:val="en-GB"/>
              </w:rPr>
              <w:t xml:space="preserve"> </w:t>
            </w:r>
          </w:p>
        </w:tc>
      </w:tr>
      <w:tr w:rsidR="00190C88" w:rsidRPr="00190C88" w14:paraId="5BA82DD6" w14:textId="77777777" w:rsidTr="00B15D48">
        <w:trPr>
          <w:trHeight w:val="110"/>
        </w:trPr>
        <w:tc>
          <w:tcPr>
            <w:tcW w:w="4131" w:type="dxa"/>
          </w:tcPr>
          <w:p w14:paraId="307FD451" w14:textId="77777777" w:rsidR="00190C88" w:rsidRDefault="00190C88" w:rsidP="00190C88">
            <w:pPr>
              <w:pStyle w:val="Default"/>
              <w:spacing w:line="276" w:lineRule="auto"/>
              <w:rPr>
                <w:b/>
                <w:bCs/>
                <w:sz w:val="22"/>
                <w:szCs w:val="22"/>
                <w:lang w:val="en-GB"/>
              </w:rPr>
            </w:pPr>
            <w:r w:rsidRPr="00190C88">
              <w:rPr>
                <w:b/>
                <w:bCs/>
                <w:sz w:val="22"/>
                <w:szCs w:val="22"/>
                <w:lang w:val="en-GB"/>
              </w:rPr>
              <w:t xml:space="preserve">12. Power Requirement </w:t>
            </w:r>
          </w:p>
          <w:p w14:paraId="3300F8A6" w14:textId="77777777" w:rsidR="00B15D48" w:rsidRPr="00190C88" w:rsidRDefault="00B15D48" w:rsidP="00190C88">
            <w:pPr>
              <w:pStyle w:val="Default"/>
              <w:spacing w:line="276" w:lineRule="auto"/>
              <w:rPr>
                <w:sz w:val="22"/>
                <w:szCs w:val="22"/>
                <w:lang w:val="en-GB"/>
              </w:rPr>
            </w:pPr>
          </w:p>
        </w:tc>
        <w:tc>
          <w:tcPr>
            <w:tcW w:w="5191" w:type="dxa"/>
          </w:tcPr>
          <w:p w14:paraId="474FCE3F"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70 W, AC 110/240 V, surge protection </w:t>
            </w:r>
          </w:p>
        </w:tc>
      </w:tr>
      <w:tr w:rsidR="00190C88" w:rsidRPr="00190C88" w14:paraId="05F51621" w14:textId="77777777" w:rsidTr="00B15D48">
        <w:trPr>
          <w:trHeight w:val="110"/>
        </w:trPr>
        <w:tc>
          <w:tcPr>
            <w:tcW w:w="4131" w:type="dxa"/>
          </w:tcPr>
          <w:p w14:paraId="5DF35A9C" w14:textId="77777777" w:rsidR="00190C88" w:rsidRPr="00190C88" w:rsidRDefault="00190C88" w:rsidP="00190C88">
            <w:pPr>
              <w:pStyle w:val="Default"/>
              <w:spacing w:line="276" w:lineRule="auto"/>
              <w:rPr>
                <w:sz w:val="22"/>
                <w:szCs w:val="22"/>
                <w:lang w:val="en-GB"/>
              </w:rPr>
            </w:pPr>
            <w:r w:rsidRPr="00190C88">
              <w:rPr>
                <w:b/>
                <w:bCs/>
                <w:sz w:val="22"/>
                <w:szCs w:val="22"/>
                <w:lang w:val="en-GB"/>
              </w:rPr>
              <w:t xml:space="preserve">13. Interface </w:t>
            </w:r>
          </w:p>
          <w:p w14:paraId="5BE7F3C7" w14:textId="77777777" w:rsidR="00190C88" w:rsidRPr="00190C88" w:rsidRDefault="00190C88" w:rsidP="00190C88">
            <w:pPr>
              <w:pStyle w:val="Default"/>
              <w:spacing w:line="276" w:lineRule="auto"/>
              <w:rPr>
                <w:sz w:val="22"/>
                <w:szCs w:val="22"/>
                <w:lang w:val="en-GB"/>
              </w:rPr>
            </w:pPr>
          </w:p>
        </w:tc>
        <w:tc>
          <w:tcPr>
            <w:tcW w:w="5191" w:type="dxa"/>
          </w:tcPr>
          <w:p w14:paraId="6C8002B7"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RJ45 (ethernet), LAN or direct </w:t>
            </w:r>
          </w:p>
        </w:tc>
      </w:tr>
      <w:tr w:rsidR="00190C88" w:rsidRPr="00190C88" w14:paraId="0328006E" w14:textId="77777777" w:rsidTr="00B15D48">
        <w:trPr>
          <w:trHeight w:val="110"/>
        </w:trPr>
        <w:tc>
          <w:tcPr>
            <w:tcW w:w="4131" w:type="dxa"/>
            <w:tcBorders>
              <w:left w:val="nil"/>
            </w:tcBorders>
          </w:tcPr>
          <w:p w14:paraId="265E95FB" w14:textId="77777777" w:rsidR="00190C88" w:rsidRPr="00190C88" w:rsidRDefault="00190C88" w:rsidP="00190C88">
            <w:pPr>
              <w:pStyle w:val="Default"/>
              <w:spacing w:line="276" w:lineRule="auto"/>
              <w:rPr>
                <w:b/>
                <w:bCs/>
                <w:sz w:val="22"/>
                <w:szCs w:val="22"/>
                <w:lang w:val="en-GB"/>
              </w:rPr>
            </w:pPr>
            <w:r w:rsidRPr="00190C88">
              <w:rPr>
                <w:b/>
                <w:bCs/>
                <w:sz w:val="22"/>
                <w:szCs w:val="22"/>
                <w:lang w:val="en-GB"/>
              </w:rPr>
              <w:lastRenderedPageBreak/>
              <w:t xml:space="preserve">14. Dimensions </w:t>
            </w:r>
          </w:p>
          <w:p w14:paraId="15AC752F" w14:textId="77777777" w:rsidR="00190C88" w:rsidRPr="00190C88" w:rsidRDefault="00190C88" w:rsidP="00190C88">
            <w:pPr>
              <w:pStyle w:val="Default"/>
              <w:spacing w:line="276" w:lineRule="auto"/>
              <w:rPr>
                <w:b/>
                <w:bCs/>
                <w:sz w:val="22"/>
                <w:szCs w:val="22"/>
                <w:lang w:val="en-GB"/>
              </w:rPr>
            </w:pPr>
          </w:p>
        </w:tc>
        <w:tc>
          <w:tcPr>
            <w:tcW w:w="5191" w:type="dxa"/>
            <w:tcBorders>
              <w:right w:val="nil"/>
            </w:tcBorders>
          </w:tcPr>
          <w:p w14:paraId="14184BFE"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L 580 mm, W 305 mm, H 810 mm </w:t>
            </w:r>
          </w:p>
        </w:tc>
      </w:tr>
      <w:tr w:rsidR="00190C88" w:rsidRPr="00190C88" w14:paraId="3B12314E" w14:textId="77777777" w:rsidTr="00B15D48">
        <w:trPr>
          <w:trHeight w:val="110"/>
        </w:trPr>
        <w:tc>
          <w:tcPr>
            <w:tcW w:w="4131" w:type="dxa"/>
            <w:tcBorders>
              <w:left w:val="nil"/>
            </w:tcBorders>
          </w:tcPr>
          <w:p w14:paraId="30A5356F" w14:textId="77777777" w:rsidR="00190C88" w:rsidRPr="00190C88" w:rsidRDefault="00190C88" w:rsidP="00190C88">
            <w:pPr>
              <w:pStyle w:val="Default"/>
              <w:spacing w:line="276" w:lineRule="auto"/>
              <w:rPr>
                <w:b/>
                <w:bCs/>
                <w:sz w:val="22"/>
                <w:szCs w:val="22"/>
                <w:lang w:val="en-GB"/>
              </w:rPr>
            </w:pPr>
            <w:r w:rsidRPr="00190C88">
              <w:rPr>
                <w:b/>
                <w:bCs/>
                <w:sz w:val="22"/>
                <w:szCs w:val="22"/>
                <w:lang w:val="en-GB"/>
              </w:rPr>
              <w:t xml:space="preserve">15. Weight </w:t>
            </w:r>
          </w:p>
          <w:p w14:paraId="4CFFA304" w14:textId="77777777" w:rsidR="00190C88" w:rsidRPr="00190C88" w:rsidRDefault="00190C88" w:rsidP="00190C88">
            <w:pPr>
              <w:pStyle w:val="Default"/>
              <w:spacing w:line="276" w:lineRule="auto"/>
              <w:rPr>
                <w:b/>
                <w:bCs/>
                <w:sz w:val="22"/>
                <w:szCs w:val="22"/>
                <w:lang w:val="en-GB"/>
              </w:rPr>
            </w:pPr>
          </w:p>
        </w:tc>
        <w:tc>
          <w:tcPr>
            <w:tcW w:w="5191" w:type="dxa"/>
            <w:tcBorders>
              <w:right w:val="nil"/>
            </w:tcBorders>
          </w:tcPr>
          <w:p w14:paraId="061DAA12"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60 kg </w:t>
            </w:r>
          </w:p>
        </w:tc>
      </w:tr>
      <w:tr w:rsidR="00190C88" w:rsidRPr="00190C88" w14:paraId="40A8E7B8" w14:textId="77777777" w:rsidTr="00B15D48">
        <w:trPr>
          <w:trHeight w:val="110"/>
        </w:trPr>
        <w:tc>
          <w:tcPr>
            <w:tcW w:w="4131" w:type="dxa"/>
            <w:tcBorders>
              <w:left w:val="nil"/>
            </w:tcBorders>
          </w:tcPr>
          <w:p w14:paraId="43FA6317" w14:textId="77777777" w:rsidR="00190C88" w:rsidRPr="00190C88" w:rsidRDefault="00190C88" w:rsidP="00190C88">
            <w:pPr>
              <w:pStyle w:val="Default"/>
              <w:spacing w:line="276" w:lineRule="auto"/>
              <w:rPr>
                <w:b/>
                <w:bCs/>
                <w:sz w:val="22"/>
                <w:szCs w:val="22"/>
                <w:lang w:val="en-GB"/>
              </w:rPr>
            </w:pPr>
            <w:r w:rsidRPr="00190C88">
              <w:rPr>
                <w:b/>
                <w:bCs/>
                <w:sz w:val="22"/>
                <w:szCs w:val="22"/>
                <w:lang w:val="en-GB"/>
              </w:rPr>
              <w:t xml:space="preserve">16. Consumables </w:t>
            </w:r>
          </w:p>
          <w:p w14:paraId="77B83674" w14:textId="77777777" w:rsidR="00190C88" w:rsidRPr="00190C88" w:rsidRDefault="00190C88" w:rsidP="00190C88">
            <w:pPr>
              <w:pStyle w:val="Default"/>
              <w:spacing w:line="276" w:lineRule="auto"/>
              <w:rPr>
                <w:b/>
                <w:bCs/>
                <w:sz w:val="22"/>
                <w:szCs w:val="22"/>
                <w:lang w:val="en-GB"/>
              </w:rPr>
            </w:pPr>
          </w:p>
        </w:tc>
        <w:tc>
          <w:tcPr>
            <w:tcW w:w="5191" w:type="dxa"/>
            <w:tcBorders>
              <w:right w:val="nil"/>
            </w:tcBorders>
          </w:tcPr>
          <w:p w14:paraId="710DFCD2"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None </w:t>
            </w:r>
          </w:p>
        </w:tc>
      </w:tr>
      <w:tr w:rsidR="00190C88" w:rsidRPr="00190C88" w14:paraId="1BE8EE13" w14:textId="77777777" w:rsidTr="00B15D48">
        <w:trPr>
          <w:trHeight w:val="110"/>
        </w:trPr>
        <w:tc>
          <w:tcPr>
            <w:tcW w:w="4131" w:type="dxa"/>
            <w:tcBorders>
              <w:left w:val="nil"/>
              <w:bottom w:val="nil"/>
            </w:tcBorders>
          </w:tcPr>
          <w:p w14:paraId="2ACE592F" w14:textId="77777777" w:rsidR="00190C88" w:rsidRPr="00190C88" w:rsidRDefault="00190C88" w:rsidP="00190C88">
            <w:pPr>
              <w:pStyle w:val="Default"/>
              <w:spacing w:line="276" w:lineRule="auto"/>
              <w:rPr>
                <w:b/>
                <w:bCs/>
                <w:sz w:val="22"/>
                <w:szCs w:val="22"/>
                <w:lang w:val="en-GB"/>
              </w:rPr>
            </w:pPr>
            <w:r w:rsidRPr="00190C88">
              <w:rPr>
                <w:b/>
                <w:bCs/>
                <w:sz w:val="22"/>
                <w:szCs w:val="22"/>
                <w:lang w:val="en-GB"/>
              </w:rPr>
              <w:t xml:space="preserve">17. Servicing Interval </w:t>
            </w:r>
          </w:p>
          <w:p w14:paraId="494023A9" w14:textId="77777777" w:rsidR="00190C88" w:rsidRPr="00190C88" w:rsidRDefault="00190C88" w:rsidP="00190C88">
            <w:pPr>
              <w:pStyle w:val="Default"/>
              <w:spacing w:line="276" w:lineRule="auto"/>
              <w:rPr>
                <w:b/>
                <w:bCs/>
                <w:sz w:val="22"/>
                <w:szCs w:val="22"/>
                <w:lang w:val="en-GB"/>
              </w:rPr>
            </w:pPr>
          </w:p>
        </w:tc>
        <w:tc>
          <w:tcPr>
            <w:tcW w:w="5191" w:type="dxa"/>
            <w:tcBorders>
              <w:bottom w:val="nil"/>
              <w:right w:val="nil"/>
            </w:tcBorders>
          </w:tcPr>
          <w:p w14:paraId="3CA4DE17" w14:textId="77777777" w:rsidR="00190C88" w:rsidRPr="00190C88" w:rsidRDefault="00190C88" w:rsidP="00190C88">
            <w:pPr>
              <w:pStyle w:val="Default"/>
              <w:spacing w:line="276" w:lineRule="auto"/>
              <w:rPr>
                <w:sz w:val="22"/>
                <w:szCs w:val="22"/>
                <w:lang w:val="en-GB"/>
              </w:rPr>
            </w:pPr>
            <w:r w:rsidRPr="00190C88">
              <w:rPr>
                <w:sz w:val="22"/>
                <w:szCs w:val="22"/>
                <w:lang w:val="en-GB"/>
              </w:rPr>
              <w:t xml:space="preserve">1 to 3 months </w:t>
            </w:r>
          </w:p>
        </w:tc>
      </w:tr>
    </w:tbl>
    <w:p w14:paraId="520220F3" w14:textId="77777777" w:rsidR="00B15D48" w:rsidRDefault="00B15D48" w:rsidP="00190C88">
      <w:pPr>
        <w:pStyle w:val="Default"/>
        <w:spacing w:line="276" w:lineRule="auto"/>
        <w:rPr>
          <w:color w:val="auto"/>
          <w:sz w:val="32"/>
          <w:szCs w:val="32"/>
          <w:lang w:val="en-GB"/>
        </w:rPr>
      </w:pPr>
    </w:p>
    <w:p w14:paraId="36B6E025" w14:textId="77777777" w:rsidR="00190C88" w:rsidRPr="00190C88" w:rsidRDefault="00190C88" w:rsidP="00190C88">
      <w:pPr>
        <w:pStyle w:val="Default"/>
        <w:spacing w:line="276" w:lineRule="auto"/>
        <w:rPr>
          <w:color w:val="auto"/>
          <w:sz w:val="32"/>
          <w:szCs w:val="32"/>
          <w:lang w:val="en-GB"/>
        </w:rPr>
      </w:pPr>
      <w:r w:rsidRPr="00190C88">
        <w:rPr>
          <w:color w:val="auto"/>
          <w:sz w:val="32"/>
          <w:szCs w:val="32"/>
          <w:lang w:val="en-GB"/>
        </w:rPr>
        <w:t xml:space="preserve">2. Device Description </w:t>
      </w:r>
    </w:p>
    <w:p w14:paraId="20C1CB6D" w14:textId="77777777" w:rsidR="00190C88" w:rsidRPr="00190C88" w:rsidRDefault="00190C88" w:rsidP="00190C88">
      <w:pPr>
        <w:pStyle w:val="Default"/>
        <w:spacing w:after="200"/>
        <w:rPr>
          <w:sz w:val="22"/>
          <w:szCs w:val="22"/>
          <w:lang w:val="en-GB"/>
        </w:rPr>
      </w:pPr>
    </w:p>
    <w:p w14:paraId="45A5E239" w14:textId="77777777" w:rsidR="00190C88" w:rsidRPr="00190C88" w:rsidRDefault="00190C88" w:rsidP="00190C88">
      <w:pPr>
        <w:pStyle w:val="Default"/>
        <w:spacing w:after="200"/>
        <w:rPr>
          <w:sz w:val="22"/>
          <w:szCs w:val="22"/>
          <w:lang w:val="en-GB"/>
        </w:rPr>
      </w:pPr>
      <w:r w:rsidRPr="00190C88">
        <w:rPr>
          <w:sz w:val="22"/>
          <w:szCs w:val="22"/>
          <w:lang w:val="en-GB"/>
        </w:rPr>
        <w:t xml:space="preserve">1. The NAIS is a multichannel aerosol instrument for measurement of the mobility distribution of air ions and size distribution of all particles (charged and neutral) including neutral clusters. </w:t>
      </w:r>
    </w:p>
    <w:p w14:paraId="07E48571" w14:textId="77777777" w:rsidR="00190C88" w:rsidRPr="00190C88" w:rsidRDefault="00190C88" w:rsidP="00190C88">
      <w:pPr>
        <w:pStyle w:val="Default"/>
        <w:spacing w:after="200"/>
        <w:rPr>
          <w:sz w:val="22"/>
          <w:szCs w:val="22"/>
          <w:lang w:val="en-GB"/>
        </w:rPr>
      </w:pPr>
      <w:r w:rsidRPr="00190C88">
        <w:rPr>
          <w:sz w:val="22"/>
          <w:szCs w:val="22"/>
          <w:lang w:val="en-GB"/>
        </w:rPr>
        <w:t xml:space="preserve">2. The NAIS is based on the principle of parallel differential mobility analysis. Particles are classified in a static electric field based on their electrical mobility. </w:t>
      </w:r>
    </w:p>
    <w:p w14:paraId="64E006A2" w14:textId="77777777" w:rsidR="00190C88" w:rsidRPr="00190C88" w:rsidRDefault="00190C88" w:rsidP="00190C88">
      <w:pPr>
        <w:pStyle w:val="Default"/>
        <w:spacing w:after="200"/>
        <w:rPr>
          <w:sz w:val="22"/>
          <w:szCs w:val="22"/>
          <w:lang w:val="en-GB"/>
        </w:rPr>
      </w:pPr>
      <w:r w:rsidRPr="00190C88">
        <w:rPr>
          <w:sz w:val="22"/>
          <w:szCs w:val="22"/>
          <w:lang w:val="en-GB"/>
        </w:rPr>
        <w:t xml:space="preserve">3. It consists of two multichannel electrical mobility </w:t>
      </w:r>
      <w:proofErr w:type="spellStart"/>
      <w:r w:rsidRPr="00190C88">
        <w:rPr>
          <w:sz w:val="22"/>
          <w:szCs w:val="22"/>
          <w:lang w:val="en-GB"/>
        </w:rPr>
        <w:t>analyzer</w:t>
      </w:r>
      <w:proofErr w:type="spellEnd"/>
      <w:r w:rsidRPr="00190C88">
        <w:rPr>
          <w:sz w:val="22"/>
          <w:szCs w:val="22"/>
          <w:lang w:val="en-GB"/>
        </w:rPr>
        <w:t xml:space="preserve"> columns operating in parallel. One mobility </w:t>
      </w:r>
      <w:proofErr w:type="spellStart"/>
      <w:r w:rsidRPr="00190C88">
        <w:rPr>
          <w:sz w:val="22"/>
          <w:szCs w:val="22"/>
          <w:lang w:val="en-GB"/>
        </w:rPr>
        <w:t>analyzer</w:t>
      </w:r>
      <w:proofErr w:type="spellEnd"/>
      <w:r w:rsidRPr="00190C88">
        <w:rPr>
          <w:sz w:val="22"/>
          <w:szCs w:val="22"/>
          <w:lang w:val="en-GB"/>
        </w:rPr>
        <w:t xml:space="preserve"> detects negatively charged particles, the other detects positively charged particles. The columns only differ by electrical polarity and are otherwise identical. </w:t>
      </w:r>
    </w:p>
    <w:p w14:paraId="016B52BE" w14:textId="77777777" w:rsidR="00190C88" w:rsidRPr="00190C88" w:rsidRDefault="00190C88" w:rsidP="00190C88">
      <w:pPr>
        <w:pStyle w:val="Default"/>
        <w:spacing w:after="200"/>
        <w:rPr>
          <w:sz w:val="22"/>
          <w:szCs w:val="22"/>
          <w:lang w:val="en-GB"/>
        </w:rPr>
      </w:pPr>
      <w:r w:rsidRPr="00190C88">
        <w:rPr>
          <w:sz w:val="22"/>
          <w:szCs w:val="22"/>
          <w:lang w:val="en-GB"/>
        </w:rPr>
        <w:t xml:space="preserve">4. The particles are deposited on 25 collecting electrodes based on their electrical mobility or size. The signal from the electrodes is measured in parallel with an array of 25 electrometers in both columns. </w:t>
      </w:r>
    </w:p>
    <w:p w14:paraId="0D51E6FE" w14:textId="77777777" w:rsidR="00190C88" w:rsidRPr="00190C88" w:rsidRDefault="00190C88" w:rsidP="00190C88">
      <w:pPr>
        <w:pStyle w:val="Default"/>
        <w:spacing w:after="200"/>
        <w:rPr>
          <w:sz w:val="22"/>
          <w:szCs w:val="22"/>
          <w:lang w:val="en-GB"/>
        </w:rPr>
      </w:pPr>
      <w:r w:rsidRPr="00190C88">
        <w:rPr>
          <w:sz w:val="22"/>
          <w:szCs w:val="22"/>
          <w:lang w:val="en-GB"/>
        </w:rPr>
        <w:t xml:space="preserve">5. The signal from the 25 electrometers of either column is processed by a data inversion algorithm to produce a complete size or mobility distribution of the particles or ions sampled by the device at that moment. </w:t>
      </w:r>
    </w:p>
    <w:p w14:paraId="1A1758F2" w14:textId="77777777" w:rsidR="00190C88" w:rsidRPr="00190C88" w:rsidRDefault="00190C88" w:rsidP="00190C88">
      <w:pPr>
        <w:pStyle w:val="Default"/>
        <w:spacing w:after="200"/>
        <w:rPr>
          <w:sz w:val="22"/>
          <w:szCs w:val="22"/>
          <w:lang w:val="en-GB"/>
        </w:rPr>
      </w:pPr>
      <w:r w:rsidRPr="00190C88">
        <w:rPr>
          <w:sz w:val="22"/>
          <w:szCs w:val="22"/>
          <w:lang w:val="en-GB"/>
        </w:rPr>
        <w:t xml:space="preserve">6. Before the mobility </w:t>
      </w:r>
      <w:proofErr w:type="spellStart"/>
      <w:r w:rsidRPr="00190C88">
        <w:rPr>
          <w:sz w:val="22"/>
          <w:szCs w:val="22"/>
          <w:lang w:val="en-GB"/>
        </w:rPr>
        <w:t>analyzers</w:t>
      </w:r>
      <w:proofErr w:type="spellEnd"/>
      <w:r w:rsidRPr="00190C88">
        <w:rPr>
          <w:sz w:val="22"/>
          <w:szCs w:val="22"/>
          <w:lang w:val="en-GB"/>
        </w:rPr>
        <w:t xml:space="preserve">, the sample is passed through a </w:t>
      </w:r>
      <w:proofErr w:type="gramStart"/>
      <w:r w:rsidRPr="00190C88">
        <w:rPr>
          <w:sz w:val="22"/>
          <w:szCs w:val="22"/>
          <w:lang w:val="en-GB"/>
        </w:rPr>
        <w:t>software controlled</w:t>
      </w:r>
      <w:proofErr w:type="gramEnd"/>
      <w:r w:rsidRPr="00190C88">
        <w:rPr>
          <w:sz w:val="22"/>
          <w:szCs w:val="22"/>
          <w:lang w:val="en-GB"/>
        </w:rPr>
        <w:t xml:space="preserve"> sample preconditioning unit, which allows the instrument to switch between detecting either naturally charged particles (ions) or all particles (both charged and uncharged) by using unipolar charging based on corona discharge. </w:t>
      </w:r>
    </w:p>
    <w:p w14:paraId="0CBC0383" w14:textId="77777777" w:rsidR="00190C88" w:rsidRPr="00190C88" w:rsidRDefault="00190C88" w:rsidP="00190C88">
      <w:pPr>
        <w:pStyle w:val="Default"/>
        <w:spacing w:after="200"/>
        <w:rPr>
          <w:sz w:val="22"/>
          <w:szCs w:val="22"/>
          <w:lang w:val="en-GB"/>
        </w:rPr>
      </w:pPr>
      <w:r w:rsidRPr="00190C88">
        <w:rPr>
          <w:sz w:val="22"/>
          <w:szCs w:val="22"/>
          <w:lang w:val="en-GB"/>
        </w:rPr>
        <w:t xml:space="preserve">7. The maximum time resolution of the device is 1 second. Typically, between </w:t>
      </w:r>
      <w:proofErr w:type="gramStart"/>
      <w:r w:rsidRPr="00190C88">
        <w:rPr>
          <w:sz w:val="22"/>
          <w:szCs w:val="22"/>
          <w:lang w:val="en-GB"/>
        </w:rPr>
        <w:t>0.5 and 5 minute</w:t>
      </w:r>
      <w:proofErr w:type="gramEnd"/>
      <w:r w:rsidRPr="00190C88">
        <w:rPr>
          <w:sz w:val="22"/>
          <w:szCs w:val="22"/>
          <w:lang w:val="en-GB"/>
        </w:rPr>
        <w:t xml:space="preserve"> average data is used. </w:t>
      </w:r>
    </w:p>
    <w:p w14:paraId="23DF6E47" w14:textId="77777777" w:rsidR="00190C88" w:rsidRPr="00190C88" w:rsidRDefault="00190C88" w:rsidP="00190C88">
      <w:pPr>
        <w:pStyle w:val="Default"/>
        <w:spacing w:after="200"/>
        <w:rPr>
          <w:sz w:val="22"/>
          <w:szCs w:val="22"/>
          <w:lang w:val="en-GB"/>
        </w:rPr>
      </w:pPr>
      <w:r w:rsidRPr="00190C88">
        <w:rPr>
          <w:sz w:val="22"/>
          <w:szCs w:val="22"/>
          <w:lang w:val="en-GB"/>
        </w:rPr>
        <w:t xml:space="preserve">8. The device only requires electric power and a data connection to the measurement computer. It does not use external pressurized air or vacuum. The device does not consume any liquids or gases. </w:t>
      </w:r>
    </w:p>
    <w:p w14:paraId="4D966608" w14:textId="77777777" w:rsidR="00190C88" w:rsidRPr="00190C88" w:rsidRDefault="00190C88" w:rsidP="00190C88">
      <w:pPr>
        <w:pStyle w:val="Default"/>
        <w:spacing w:after="200"/>
        <w:rPr>
          <w:sz w:val="22"/>
          <w:szCs w:val="22"/>
          <w:lang w:val="en-GB"/>
        </w:rPr>
      </w:pPr>
      <w:r w:rsidRPr="00190C88">
        <w:rPr>
          <w:sz w:val="22"/>
          <w:szCs w:val="22"/>
          <w:lang w:val="en-GB"/>
        </w:rPr>
        <w:t xml:space="preserve">9. The only maintenance that the NAIS requires is regular cleaning. No other regular human interaction with the instrument is required for normal measurements. Depending on the measurement location, the maintenance interval can range from 1-2 weeks (polluted downtown in megacities) to several months (boreal forest with clean air). </w:t>
      </w:r>
    </w:p>
    <w:p w14:paraId="1DD52700" w14:textId="77777777" w:rsidR="00190C88" w:rsidRPr="00190C88" w:rsidRDefault="00190C88" w:rsidP="00190C88">
      <w:pPr>
        <w:pStyle w:val="Default"/>
        <w:rPr>
          <w:sz w:val="22"/>
          <w:szCs w:val="22"/>
          <w:lang w:val="en-GB"/>
        </w:rPr>
      </w:pPr>
      <w:r w:rsidRPr="00190C88">
        <w:rPr>
          <w:sz w:val="22"/>
          <w:szCs w:val="22"/>
          <w:lang w:val="en-GB"/>
        </w:rPr>
        <w:t xml:space="preserve">10. Software for measurement and quick data analysis is provided with the instrument free of charge. </w:t>
      </w:r>
    </w:p>
    <w:p w14:paraId="1545DDF4" w14:textId="77777777" w:rsidR="00190C88" w:rsidRPr="00190C88" w:rsidRDefault="00190C88" w:rsidP="00190C88">
      <w:pPr>
        <w:spacing w:after="0" w:line="276" w:lineRule="auto"/>
        <w:rPr>
          <w:lang w:val="en-GB"/>
        </w:rPr>
      </w:pPr>
    </w:p>
    <w:p w14:paraId="3460A0E6" w14:textId="77777777" w:rsidR="00190C88" w:rsidRDefault="00190C88" w:rsidP="00190C88">
      <w:pPr>
        <w:spacing w:after="0" w:line="276" w:lineRule="auto"/>
        <w:rPr>
          <w:lang w:val="en-GB"/>
        </w:rPr>
      </w:pPr>
    </w:p>
    <w:p w14:paraId="7A09676D" w14:textId="77777777" w:rsidR="00B15D48" w:rsidRPr="00190C88" w:rsidRDefault="00B15D48" w:rsidP="00190C88">
      <w:pPr>
        <w:spacing w:after="0" w:line="276" w:lineRule="auto"/>
        <w:rPr>
          <w:lang w:val="en-GB"/>
        </w:rPr>
      </w:pPr>
    </w:p>
    <w:p w14:paraId="55D1B290" w14:textId="77777777" w:rsidR="00190C88" w:rsidRPr="005E2485" w:rsidRDefault="00190C88" w:rsidP="005E2485">
      <w:pPr>
        <w:pStyle w:val="Default"/>
        <w:spacing w:line="276" w:lineRule="auto"/>
        <w:rPr>
          <w:color w:val="auto"/>
          <w:sz w:val="32"/>
          <w:szCs w:val="32"/>
          <w:lang w:val="en-GB"/>
        </w:rPr>
      </w:pPr>
      <w:r w:rsidRPr="005E2485">
        <w:rPr>
          <w:color w:val="auto"/>
          <w:sz w:val="32"/>
          <w:szCs w:val="32"/>
          <w:lang w:val="en-GB"/>
        </w:rPr>
        <w:lastRenderedPageBreak/>
        <w:t xml:space="preserve">3. Training </w:t>
      </w:r>
    </w:p>
    <w:p w14:paraId="68BC22CA" w14:textId="77777777" w:rsidR="005E2485" w:rsidRDefault="005E2485" w:rsidP="00190C88">
      <w:pPr>
        <w:pStyle w:val="Default"/>
        <w:rPr>
          <w:sz w:val="22"/>
          <w:szCs w:val="22"/>
          <w:lang w:val="en-GB"/>
        </w:rPr>
      </w:pPr>
    </w:p>
    <w:p w14:paraId="148F8F7A" w14:textId="77777777" w:rsidR="00190C88" w:rsidRPr="00190C88" w:rsidRDefault="00190C88" w:rsidP="00190C88">
      <w:pPr>
        <w:pStyle w:val="Default"/>
        <w:rPr>
          <w:sz w:val="22"/>
          <w:szCs w:val="22"/>
          <w:lang w:val="en-GB"/>
        </w:rPr>
      </w:pPr>
      <w:proofErr w:type="spellStart"/>
      <w:r w:rsidRPr="00190C88">
        <w:rPr>
          <w:sz w:val="22"/>
          <w:szCs w:val="22"/>
          <w:lang w:val="en-GB"/>
        </w:rPr>
        <w:t>Airel</w:t>
      </w:r>
      <w:proofErr w:type="spellEnd"/>
      <w:r w:rsidRPr="00190C88">
        <w:rPr>
          <w:sz w:val="22"/>
          <w:szCs w:val="22"/>
          <w:lang w:val="en-GB"/>
        </w:rPr>
        <w:t xml:space="preserve"> Ltd. provides training for three persons for two days at company premises or online. </w:t>
      </w:r>
    </w:p>
    <w:p w14:paraId="62800AF8" w14:textId="650CE984" w:rsidR="00190C88" w:rsidRDefault="00190C88" w:rsidP="00190C88">
      <w:pPr>
        <w:pStyle w:val="Default"/>
        <w:rPr>
          <w:sz w:val="22"/>
          <w:szCs w:val="22"/>
          <w:lang w:val="en-GB"/>
        </w:rPr>
      </w:pPr>
      <w:r w:rsidRPr="00190C88">
        <w:rPr>
          <w:sz w:val="22"/>
          <w:szCs w:val="22"/>
          <w:lang w:val="en-GB"/>
        </w:rPr>
        <w:t xml:space="preserve">The company also provides online support for installation of the device. </w:t>
      </w:r>
    </w:p>
    <w:p w14:paraId="3B676178" w14:textId="77777777" w:rsidR="00C67BA4" w:rsidRPr="00190C88" w:rsidRDefault="00C67BA4" w:rsidP="00190C88">
      <w:pPr>
        <w:pStyle w:val="Default"/>
        <w:rPr>
          <w:sz w:val="22"/>
          <w:szCs w:val="22"/>
          <w:lang w:val="en-GB"/>
        </w:rPr>
      </w:pPr>
      <w:bookmarkStart w:id="0" w:name="_GoBack"/>
      <w:bookmarkEnd w:id="0"/>
    </w:p>
    <w:p w14:paraId="6531A927" w14:textId="77777777" w:rsidR="00190C88" w:rsidRPr="005E2485" w:rsidRDefault="00190C88" w:rsidP="005E2485">
      <w:pPr>
        <w:pStyle w:val="Default"/>
        <w:spacing w:line="276" w:lineRule="auto"/>
        <w:rPr>
          <w:color w:val="auto"/>
          <w:sz w:val="32"/>
          <w:szCs w:val="32"/>
          <w:lang w:val="en-GB"/>
        </w:rPr>
      </w:pPr>
      <w:r w:rsidRPr="005E2485">
        <w:rPr>
          <w:color w:val="auto"/>
          <w:sz w:val="32"/>
          <w:szCs w:val="32"/>
          <w:lang w:val="en-GB"/>
        </w:rPr>
        <w:t xml:space="preserve">4. Warranty </w:t>
      </w:r>
    </w:p>
    <w:p w14:paraId="3D332DEF" w14:textId="77777777" w:rsidR="005E2485" w:rsidRDefault="005E2485" w:rsidP="00190C88">
      <w:pPr>
        <w:pStyle w:val="Default"/>
        <w:rPr>
          <w:sz w:val="22"/>
          <w:szCs w:val="22"/>
          <w:lang w:val="en-GB"/>
        </w:rPr>
      </w:pPr>
    </w:p>
    <w:p w14:paraId="6F7611D2" w14:textId="77777777" w:rsidR="00190C88" w:rsidRDefault="00190C88" w:rsidP="00190C88">
      <w:pPr>
        <w:pStyle w:val="Default"/>
        <w:rPr>
          <w:sz w:val="22"/>
          <w:szCs w:val="22"/>
          <w:lang w:val="en-GB"/>
        </w:rPr>
      </w:pPr>
      <w:r w:rsidRPr="00190C88">
        <w:rPr>
          <w:sz w:val="22"/>
          <w:szCs w:val="22"/>
          <w:lang w:val="en-GB"/>
        </w:rPr>
        <w:t xml:space="preserve">The device will be accompanied </w:t>
      </w:r>
      <w:proofErr w:type="gramStart"/>
      <w:r w:rsidRPr="00190C88">
        <w:rPr>
          <w:sz w:val="22"/>
          <w:szCs w:val="22"/>
          <w:lang w:val="en-GB"/>
        </w:rPr>
        <w:t>1</w:t>
      </w:r>
      <w:r w:rsidR="005E2485">
        <w:rPr>
          <w:sz w:val="22"/>
          <w:szCs w:val="22"/>
          <w:lang w:val="en-GB"/>
        </w:rPr>
        <w:t xml:space="preserve"> </w:t>
      </w:r>
      <w:r w:rsidRPr="00190C88">
        <w:rPr>
          <w:sz w:val="22"/>
          <w:szCs w:val="22"/>
          <w:lang w:val="en-GB"/>
        </w:rPr>
        <w:t>year</w:t>
      </w:r>
      <w:proofErr w:type="gramEnd"/>
      <w:r w:rsidRPr="00190C88">
        <w:rPr>
          <w:sz w:val="22"/>
          <w:szCs w:val="22"/>
          <w:lang w:val="en-GB"/>
        </w:rPr>
        <w:t xml:space="preserve"> standard warranty </w:t>
      </w:r>
    </w:p>
    <w:p w14:paraId="1F96A9FD" w14:textId="77777777" w:rsidR="005E2485" w:rsidRPr="00190C88" w:rsidRDefault="005E2485" w:rsidP="00190C88">
      <w:pPr>
        <w:pStyle w:val="Default"/>
        <w:rPr>
          <w:sz w:val="22"/>
          <w:szCs w:val="22"/>
          <w:lang w:val="en-GB"/>
        </w:rPr>
      </w:pPr>
    </w:p>
    <w:p w14:paraId="72041CC2" w14:textId="77777777" w:rsidR="00190C88" w:rsidRPr="005E2485" w:rsidRDefault="00190C88" w:rsidP="005E2485">
      <w:pPr>
        <w:pStyle w:val="Default"/>
        <w:spacing w:line="276" w:lineRule="auto"/>
        <w:rPr>
          <w:color w:val="auto"/>
          <w:sz w:val="32"/>
          <w:szCs w:val="32"/>
          <w:lang w:val="en-GB"/>
        </w:rPr>
      </w:pPr>
      <w:r w:rsidRPr="005E2485">
        <w:rPr>
          <w:color w:val="auto"/>
          <w:sz w:val="32"/>
          <w:szCs w:val="32"/>
          <w:lang w:val="en-GB"/>
        </w:rPr>
        <w:t xml:space="preserve">5. Supporting Services </w:t>
      </w:r>
    </w:p>
    <w:p w14:paraId="22D0341E" w14:textId="77777777" w:rsidR="005E2485" w:rsidRDefault="005E2485" w:rsidP="00190C88">
      <w:pPr>
        <w:pStyle w:val="Default"/>
        <w:rPr>
          <w:sz w:val="22"/>
          <w:szCs w:val="22"/>
          <w:lang w:val="en-GB"/>
        </w:rPr>
      </w:pPr>
    </w:p>
    <w:p w14:paraId="286C1D45" w14:textId="77777777" w:rsidR="00190C88" w:rsidRPr="00190C88" w:rsidRDefault="00190C88" w:rsidP="00190C88">
      <w:pPr>
        <w:pStyle w:val="Default"/>
        <w:rPr>
          <w:sz w:val="22"/>
          <w:szCs w:val="22"/>
          <w:lang w:val="en-GB"/>
        </w:rPr>
      </w:pPr>
      <w:proofErr w:type="spellStart"/>
      <w:r w:rsidRPr="00190C88">
        <w:rPr>
          <w:sz w:val="22"/>
          <w:szCs w:val="22"/>
          <w:lang w:val="en-GB"/>
        </w:rPr>
        <w:t>Airel</w:t>
      </w:r>
      <w:proofErr w:type="spellEnd"/>
      <w:r w:rsidRPr="00190C88">
        <w:rPr>
          <w:sz w:val="22"/>
          <w:szCs w:val="22"/>
          <w:lang w:val="en-GB"/>
        </w:rPr>
        <w:t xml:space="preserve"> Ltd. provides twelve (12) months following the delivery free of charge on-line and telephone support within 2 business days of notification. </w:t>
      </w:r>
    </w:p>
    <w:p w14:paraId="56ABA6A6" w14:textId="77777777" w:rsidR="005E2485" w:rsidRDefault="005E2485" w:rsidP="00190C88">
      <w:pPr>
        <w:pStyle w:val="Default"/>
        <w:rPr>
          <w:sz w:val="22"/>
          <w:szCs w:val="22"/>
          <w:lang w:val="en-GB"/>
        </w:rPr>
      </w:pPr>
    </w:p>
    <w:p w14:paraId="12250C31" w14:textId="77777777" w:rsidR="00190C88" w:rsidRPr="00190C88" w:rsidRDefault="00190C88" w:rsidP="00190C88">
      <w:pPr>
        <w:pStyle w:val="Default"/>
        <w:rPr>
          <w:sz w:val="22"/>
          <w:szCs w:val="22"/>
          <w:lang w:val="en-GB"/>
        </w:rPr>
      </w:pPr>
      <w:r w:rsidRPr="00190C88">
        <w:rPr>
          <w:sz w:val="22"/>
          <w:szCs w:val="22"/>
          <w:lang w:val="en-GB"/>
        </w:rPr>
        <w:t xml:space="preserve">Free software updates are provided for three (3) years after the delivery of the device. </w:t>
      </w:r>
    </w:p>
    <w:p w14:paraId="32517E21" w14:textId="77777777" w:rsidR="00190C88" w:rsidRDefault="00190C88" w:rsidP="00190C88">
      <w:pPr>
        <w:pStyle w:val="Default"/>
        <w:rPr>
          <w:sz w:val="22"/>
          <w:szCs w:val="22"/>
          <w:lang w:val="en-GB"/>
        </w:rPr>
      </w:pPr>
      <w:r w:rsidRPr="00190C88">
        <w:rPr>
          <w:sz w:val="22"/>
          <w:szCs w:val="22"/>
          <w:lang w:val="en-GB"/>
        </w:rPr>
        <w:t xml:space="preserve">Technical support, which requires the physical presence of the contractor, shall be arranged through mutual agreement of the two parties. </w:t>
      </w:r>
    </w:p>
    <w:p w14:paraId="7B609904" w14:textId="77777777" w:rsidR="005E2485" w:rsidRPr="00190C88" w:rsidRDefault="005E2485" w:rsidP="00190C88">
      <w:pPr>
        <w:pStyle w:val="Default"/>
        <w:rPr>
          <w:sz w:val="22"/>
          <w:szCs w:val="22"/>
          <w:lang w:val="en-GB"/>
        </w:rPr>
      </w:pPr>
    </w:p>
    <w:p w14:paraId="43DB3746" w14:textId="77777777" w:rsidR="00190C88" w:rsidRPr="005E2485" w:rsidRDefault="00190C88" w:rsidP="005E2485">
      <w:pPr>
        <w:pStyle w:val="Default"/>
        <w:spacing w:line="276" w:lineRule="auto"/>
        <w:rPr>
          <w:color w:val="auto"/>
          <w:sz w:val="32"/>
          <w:szCs w:val="32"/>
          <w:lang w:val="en-GB"/>
        </w:rPr>
      </w:pPr>
      <w:r w:rsidRPr="005E2485">
        <w:rPr>
          <w:color w:val="auto"/>
          <w:sz w:val="32"/>
          <w:szCs w:val="32"/>
          <w:lang w:val="en-GB"/>
        </w:rPr>
        <w:t xml:space="preserve">6. Subcontractors </w:t>
      </w:r>
    </w:p>
    <w:p w14:paraId="4BE445FB" w14:textId="77777777" w:rsidR="005E2485" w:rsidRDefault="005E2485" w:rsidP="00190C88">
      <w:pPr>
        <w:spacing w:after="0" w:line="276" w:lineRule="auto"/>
        <w:rPr>
          <w:lang w:val="en-GB"/>
        </w:rPr>
      </w:pPr>
    </w:p>
    <w:p w14:paraId="0F5D87F3" w14:textId="77777777" w:rsidR="00190C88" w:rsidRPr="00190C88" w:rsidRDefault="00190C88" w:rsidP="00190C88">
      <w:pPr>
        <w:spacing w:after="0" w:line="276" w:lineRule="auto"/>
        <w:rPr>
          <w:lang w:val="en-GB"/>
        </w:rPr>
      </w:pPr>
      <w:proofErr w:type="spellStart"/>
      <w:r w:rsidRPr="00190C88">
        <w:rPr>
          <w:lang w:val="en-GB"/>
        </w:rPr>
        <w:t>Airel</w:t>
      </w:r>
      <w:proofErr w:type="spellEnd"/>
      <w:r w:rsidRPr="00190C88">
        <w:rPr>
          <w:lang w:val="en-GB"/>
        </w:rPr>
        <w:t xml:space="preserve"> Ltd. will not use subcontractors to </w:t>
      </w:r>
      <w:proofErr w:type="spellStart"/>
      <w:r w:rsidRPr="00190C88">
        <w:rPr>
          <w:lang w:val="en-GB"/>
        </w:rPr>
        <w:t>fulfill</w:t>
      </w:r>
      <w:proofErr w:type="spellEnd"/>
      <w:r w:rsidRPr="00190C88">
        <w:rPr>
          <w:lang w:val="en-GB"/>
        </w:rPr>
        <w:t xml:space="preserve"> any part of the offer. The offered product is in its entirety produces by </w:t>
      </w:r>
      <w:proofErr w:type="spellStart"/>
      <w:r w:rsidRPr="00190C88">
        <w:rPr>
          <w:lang w:val="en-GB"/>
        </w:rPr>
        <w:t>Airel</w:t>
      </w:r>
      <w:proofErr w:type="spellEnd"/>
      <w:r w:rsidRPr="00190C88">
        <w:rPr>
          <w:lang w:val="en-GB"/>
        </w:rPr>
        <w:t xml:space="preserve"> Ltd.</w:t>
      </w:r>
    </w:p>
    <w:sectPr w:rsidR="00190C88" w:rsidRPr="00190C8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FEC6" w14:textId="77777777" w:rsidR="005E2485" w:rsidRDefault="005E2485" w:rsidP="005E2485">
      <w:pPr>
        <w:spacing w:after="0" w:line="240" w:lineRule="auto"/>
      </w:pPr>
      <w:r>
        <w:separator/>
      </w:r>
    </w:p>
  </w:endnote>
  <w:endnote w:type="continuationSeparator" w:id="0">
    <w:p w14:paraId="35605EB8" w14:textId="77777777" w:rsidR="005E2485" w:rsidRDefault="005E2485" w:rsidP="005E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50888"/>
      <w:docPartObj>
        <w:docPartGallery w:val="Page Numbers (Bottom of Page)"/>
        <w:docPartUnique/>
      </w:docPartObj>
    </w:sdtPr>
    <w:sdtContent>
      <w:p w14:paraId="444978AB" w14:textId="77777777" w:rsidR="005E2485" w:rsidRDefault="005E2485">
        <w:pPr>
          <w:pStyle w:val="Zpat"/>
          <w:jc w:val="right"/>
        </w:pPr>
        <w:r>
          <w:fldChar w:fldCharType="begin"/>
        </w:r>
        <w:r>
          <w:instrText>PAGE   \* MERGEFORMAT</w:instrText>
        </w:r>
        <w:r>
          <w:fldChar w:fldCharType="separate"/>
        </w:r>
        <w:r>
          <w:t>2</w:t>
        </w:r>
        <w:r>
          <w:fldChar w:fldCharType="end"/>
        </w:r>
        <w:r>
          <w:t>/3</w:t>
        </w:r>
      </w:p>
    </w:sdtContent>
  </w:sdt>
  <w:p w14:paraId="51A70E23" w14:textId="77777777" w:rsidR="005E2485" w:rsidRDefault="005E24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E257" w14:textId="77777777" w:rsidR="005E2485" w:rsidRDefault="005E2485" w:rsidP="005E2485">
      <w:pPr>
        <w:spacing w:after="0" w:line="240" w:lineRule="auto"/>
      </w:pPr>
      <w:r>
        <w:separator/>
      </w:r>
    </w:p>
  </w:footnote>
  <w:footnote w:type="continuationSeparator" w:id="0">
    <w:p w14:paraId="1E688EBD" w14:textId="77777777" w:rsidR="005E2485" w:rsidRDefault="005E2485" w:rsidP="005E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0EFC" w14:textId="77777777" w:rsidR="00B15D48" w:rsidRDefault="00B15D48">
    <w:pPr>
      <w:pStyle w:val="Zhlav"/>
    </w:pPr>
    <w:proofErr w:type="spellStart"/>
    <w:r>
      <w:t>Airel</w:t>
    </w:r>
    <w:proofErr w:type="spellEnd"/>
    <w:r>
      <w:t xml:space="preserve">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88"/>
    <w:rsid w:val="00190C88"/>
    <w:rsid w:val="005E2485"/>
    <w:rsid w:val="005F2AA8"/>
    <w:rsid w:val="006D2EE1"/>
    <w:rsid w:val="00B15D48"/>
    <w:rsid w:val="00C67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0AB6"/>
  <w15:chartTrackingRefBased/>
  <w15:docId w15:val="{E9E93C14-6ED1-4B85-AD2F-9443F831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90C8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5E24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2485"/>
  </w:style>
  <w:style w:type="paragraph" w:styleId="Zpat">
    <w:name w:val="footer"/>
    <w:basedOn w:val="Normln"/>
    <w:link w:val="ZpatChar"/>
    <w:uiPriority w:val="99"/>
    <w:unhideWhenUsed/>
    <w:rsid w:val="005E2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5E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601</Words>
  <Characters>3550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Koudelkova, Monika</cp:lastModifiedBy>
  <cp:revision>4</cp:revision>
  <cp:lastPrinted>2021-06-23T07:55:00Z</cp:lastPrinted>
  <dcterms:created xsi:type="dcterms:W3CDTF">2021-06-22T17:43:00Z</dcterms:created>
  <dcterms:modified xsi:type="dcterms:W3CDTF">2021-06-23T07:55:00Z</dcterms:modified>
</cp:coreProperties>
</file>