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číslo účtu: 476337303/0300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1E6C7D" w:rsidRPr="008C4D8B" w:rsidRDefault="001E6C7D" w:rsidP="001E6C7D">
      <w:pPr>
        <w:ind w:firstLine="11"/>
        <w:rPr>
          <w:rFonts w:ascii="Calibri" w:hAnsi="Calibri"/>
          <w:b/>
          <w:color w:val="000000"/>
          <w:sz w:val="24"/>
          <w:highlight w:val="yellow"/>
        </w:rPr>
      </w:pPr>
      <w:r w:rsidRPr="000A78A6">
        <w:rPr>
          <w:rFonts w:ascii="Calibri" w:hAnsi="Calibri"/>
          <w:b/>
          <w:color w:val="000000"/>
          <w:sz w:val="24"/>
        </w:rPr>
        <w:t>Autosalon Klokočka Centrum a.s.</w:t>
      </w:r>
    </w:p>
    <w:p w:rsidR="001E6C7D" w:rsidRPr="000A78A6" w:rsidRDefault="001E6C7D" w:rsidP="001E6C7D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sídlo: Borského 876/8, 152 00 Praha - Hlubočepy</w:t>
      </w:r>
    </w:p>
    <w:p w:rsidR="001E6C7D" w:rsidRPr="000A78A6" w:rsidRDefault="001E6C7D" w:rsidP="001E6C7D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 xml:space="preserve">zastoupena:  </w:t>
      </w:r>
      <w:r>
        <w:rPr>
          <w:rFonts w:ascii="Calibri" w:hAnsi="Calibri"/>
          <w:color w:val="000000"/>
          <w:sz w:val="24"/>
        </w:rPr>
        <w:t>Radkem Dvořákem, prokuristou společnosti</w:t>
      </w:r>
    </w:p>
    <w:p w:rsidR="001E6C7D" w:rsidRPr="000A78A6" w:rsidRDefault="001E6C7D" w:rsidP="001E6C7D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>IČ: 26435713, DIČ: CZ26435713</w:t>
      </w:r>
    </w:p>
    <w:p w:rsidR="001E6C7D" w:rsidRPr="000A78A6" w:rsidRDefault="001E6C7D" w:rsidP="001E6C7D">
      <w:pPr>
        <w:ind w:firstLine="11"/>
        <w:rPr>
          <w:rFonts w:ascii="Calibri" w:hAnsi="Calibri"/>
          <w:color w:val="000000"/>
          <w:sz w:val="24"/>
        </w:rPr>
      </w:pPr>
      <w:r w:rsidRPr="000A78A6">
        <w:rPr>
          <w:rFonts w:ascii="Calibri" w:hAnsi="Calibri"/>
          <w:color w:val="000000"/>
          <w:sz w:val="24"/>
        </w:rPr>
        <w:t xml:space="preserve">bankovní spojení: </w:t>
      </w:r>
      <w:r w:rsidR="009062B4">
        <w:rPr>
          <w:rFonts w:ascii="Calibri" w:hAnsi="Calibri"/>
          <w:color w:val="000000"/>
          <w:sz w:val="24"/>
        </w:rPr>
        <w:t>xxxxxxxxxxxxxxxxxxxxxx</w:t>
      </w:r>
    </w:p>
    <w:p w:rsidR="001E6C7D" w:rsidRPr="001E6C7D" w:rsidRDefault="001E6C7D" w:rsidP="001E6C7D">
      <w:pPr>
        <w:ind w:firstLine="11"/>
        <w:rPr>
          <w:rFonts w:ascii="Calibri" w:hAnsi="Calibri"/>
          <w:color w:val="000000"/>
          <w:sz w:val="24"/>
        </w:rPr>
      </w:pPr>
      <w:r w:rsidRPr="001E6C7D">
        <w:rPr>
          <w:rFonts w:ascii="Calibri" w:hAnsi="Calibri"/>
          <w:color w:val="000000"/>
          <w:sz w:val="24"/>
        </w:rPr>
        <w:t>zapsaná v OR MS v Praze, spis. značka 7099 B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1E6C7D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Pr="001E6C7D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Pr="001E6C7D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1E6C7D">
        <w:rPr>
          <w:rFonts w:asciiTheme="minorHAnsi" w:hAnsiTheme="minorHAnsi" w:cstheme="minorHAnsi"/>
          <w:sz w:val="24"/>
        </w:rPr>
        <w:t>území hl. m. Prahy</w:t>
      </w:r>
      <w:r w:rsidRPr="001E6C7D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9062B4">
        <w:rPr>
          <w:rFonts w:asciiTheme="minorHAnsi" w:hAnsiTheme="minorHAnsi" w:cstheme="minorHAnsi"/>
          <w:color w:val="000000"/>
          <w:sz w:val="24"/>
        </w:rPr>
        <w:t>xxxxxxxxxxxxxxx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Pr="001E6C7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1E6C7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1E6C7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1E6C7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1E6C7D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1E6C7D" w:rsidRPr="001E6C7D">
        <w:rPr>
          <w:rFonts w:asciiTheme="minorHAnsi" w:hAnsiTheme="minorHAnsi" w:cstheme="minorHAnsi"/>
          <w:color w:val="000000"/>
          <w:sz w:val="24"/>
        </w:rPr>
        <w:t xml:space="preserve"> </w:t>
      </w:r>
      <w:r w:rsidRPr="001E6C7D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1E6C7D" w:rsidRPr="001E6C7D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1E6C7D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</w:t>
      </w:r>
      <w:r>
        <w:rPr>
          <w:rFonts w:asciiTheme="minorHAnsi" w:hAnsiTheme="minorHAnsi" w:cstheme="minorHAnsi"/>
          <w:color w:val="000000"/>
          <w:sz w:val="24"/>
        </w:rPr>
        <w:t xml:space="preserve">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1E6C7D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1E6C7D">
        <w:rPr>
          <w:rFonts w:asciiTheme="minorHAnsi" w:hAnsiTheme="minorHAnsi" w:cstheme="minorHAnsi"/>
          <w:color w:val="000000"/>
          <w:sz w:val="24"/>
        </w:rPr>
        <w:t>Poskytovatele</w:t>
      </w:r>
      <w:r w:rsidR="001E6C7D" w:rsidRPr="001E6C7D">
        <w:rPr>
          <w:rFonts w:asciiTheme="minorHAnsi" w:hAnsiTheme="minorHAnsi" w:cstheme="minorHAnsi"/>
          <w:color w:val="000000"/>
          <w:sz w:val="24"/>
        </w:rPr>
        <w:t xml:space="preserve">: </w:t>
      </w:r>
    </w:p>
    <w:p w:rsidR="00890DF7" w:rsidRDefault="001E6C7D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 w:rsidR="009062B4">
        <w:rPr>
          <w:rFonts w:asciiTheme="minorHAnsi" w:hAnsiTheme="minorHAnsi" w:cstheme="minorHAnsi"/>
          <w:color w:val="000000"/>
          <w:sz w:val="24"/>
        </w:rPr>
        <w:t>xxxxxxxxxxxxxxxxxxxxxxxxxxxx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9062B4">
        <w:rPr>
          <w:rFonts w:asciiTheme="minorHAnsi" w:hAnsiTheme="minorHAnsi" w:cstheme="minorHAnsi"/>
          <w:sz w:val="24"/>
        </w:rPr>
        <w:t>xxxxxxxxxxxxxxxxxxxxxx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1E6C7D" w:rsidRDefault="00CC020C" w:rsidP="001E6C7D">
      <w:pPr>
        <w:ind w:firstLine="11"/>
        <w:rPr>
          <w:rFonts w:ascii="Calibri" w:hAnsi="Calibri"/>
          <w:b/>
          <w:color w:val="000000"/>
          <w:sz w:val="24"/>
          <w:highlight w:val="yellow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1E6C7D">
        <w:rPr>
          <w:rFonts w:asciiTheme="minorHAnsi" w:hAnsiTheme="minorHAnsi" w:cstheme="minorHAnsi"/>
          <w:sz w:val="24"/>
        </w:rPr>
        <w:t xml:space="preserve">                    </w:t>
      </w:r>
      <w:r w:rsidR="001E6C7D" w:rsidRPr="000A78A6">
        <w:rPr>
          <w:rFonts w:ascii="Calibri" w:hAnsi="Calibri"/>
          <w:b/>
          <w:color w:val="000000"/>
          <w:sz w:val="24"/>
        </w:rPr>
        <w:t>Autosalon Klokočka Centrum a.s.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20" w:rsidRDefault="00810720">
      <w:pPr>
        <w:spacing w:line="240" w:lineRule="auto"/>
      </w:pPr>
      <w:r>
        <w:separator/>
      </w:r>
    </w:p>
  </w:endnote>
  <w:endnote w:type="continuationSeparator" w:id="0">
    <w:p w:rsidR="00810720" w:rsidRDefault="0081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D12F13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5001F8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20" w:rsidRDefault="00810720">
      <w:pPr>
        <w:spacing w:line="240" w:lineRule="auto"/>
      </w:pPr>
      <w:r>
        <w:separator/>
      </w:r>
    </w:p>
  </w:footnote>
  <w:footnote w:type="continuationSeparator" w:id="0">
    <w:p w:rsidR="00810720" w:rsidRDefault="008107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E6C7D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D62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01F8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0475"/>
    <w:rsid w:val="007D5E89"/>
    <w:rsid w:val="007E0E70"/>
    <w:rsid w:val="007F31ED"/>
    <w:rsid w:val="007F66A8"/>
    <w:rsid w:val="007F7552"/>
    <w:rsid w:val="008030C6"/>
    <w:rsid w:val="008033AF"/>
    <w:rsid w:val="00810720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062B4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12F13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3690F-8556-4F08-A485-F84A62C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83211-AC92-4919-BA63-DEC8EEAE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Vladimíra Karafiátová Ing.</cp:lastModifiedBy>
  <cp:revision>2</cp:revision>
  <cp:lastPrinted>2019-06-25T08:48:00Z</cp:lastPrinted>
  <dcterms:created xsi:type="dcterms:W3CDTF">2021-07-14T11:16:00Z</dcterms:created>
  <dcterms:modified xsi:type="dcterms:W3CDTF">2021-07-14T11:16:00Z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