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70"/>
        <w:gridCol w:w="2549"/>
        <w:gridCol w:w="2899"/>
        <w:gridCol w:w="2491"/>
      </w:tblGrid>
      <w:tr w:rsidR="009C4942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541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10810" w:h="936" w:wrap="none" w:hAnchor="page" w:x="604" w:y="-7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Strana 1/2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10810" w:h="936" w:wrap="none" w:hAnchor="page" w:x="604" w:y="-70"/>
              <w:shd w:val="clear" w:color="auto" w:fill="auto"/>
              <w:ind w:firstLine="180"/>
            </w:pPr>
            <w:r>
              <w:rPr>
                <w:rFonts w:ascii="Arial" w:eastAsia="Arial" w:hAnsi="Arial" w:cs="Arial"/>
                <w:b/>
                <w:bCs/>
                <w:i/>
                <w:iCs/>
              </w:rPr>
              <w:t>Číslo smlouvy:</w:t>
            </w:r>
          </w:p>
        </w:tc>
        <w:tc>
          <w:tcPr>
            <w:tcW w:w="249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10810" w:h="936" w:wrap="none" w:hAnchor="page" w:x="604" w:y="-70"/>
              <w:shd w:val="clear" w:color="auto" w:fill="auto"/>
              <w:jc w:val="right"/>
              <w:rPr>
                <w:sz w:val="26"/>
                <w:szCs w:val="26"/>
              </w:rPr>
            </w:pPr>
            <w:r>
              <w:rPr>
                <w:rFonts w:ascii="Tahoma" w:eastAsia="Tahoma" w:hAnsi="Tahoma" w:cs="Tahoma"/>
                <w:b/>
                <w:bCs/>
                <w:sz w:val="26"/>
                <w:szCs w:val="26"/>
              </w:rPr>
              <w:t>OT001745</w:t>
            </w: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10810" w:h="936" w:wrap="none" w:hAnchor="page" w:x="604" w:y="-7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  <w:vertAlign w:val="superscript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Prodávající</w:t>
            </w:r>
          </w:p>
        </w:tc>
        <w:tc>
          <w:tcPr>
            <w:tcW w:w="2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C4942" w:rsidRDefault="009C4942">
            <w:pPr>
              <w:framePr w:w="10810" w:h="936" w:wrap="none" w:hAnchor="page" w:x="604" w:y="-70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10810" w:h="936" w:wrap="none" w:hAnchor="page" w:x="604" w:y="-70"/>
              <w:shd w:val="clear" w:color="auto" w:fill="auto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Kupující</w:t>
            </w:r>
          </w:p>
        </w:tc>
        <w:tc>
          <w:tcPr>
            <w:tcW w:w="2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942" w:rsidRDefault="009C4942">
            <w:pPr>
              <w:framePr w:w="10810" w:h="936" w:wrap="none" w:hAnchor="page" w:x="604" w:y="-70"/>
              <w:rPr>
                <w:sz w:val="10"/>
                <w:szCs w:val="10"/>
              </w:rPr>
            </w:pPr>
          </w:p>
        </w:tc>
      </w:tr>
    </w:tbl>
    <w:p w:rsidR="009C4942" w:rsidRDefault="009C4942">
      <w:pPr>
        <w:framePr w:w="10810" w:h="936" w:wrap="none" w:hAnchor="page" w:x="604" w:y="-70"/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1642"/>
        <w:gridCol w:w="778"/>
        <w:gridCol w:w="1632"/>
        <w:gridCol w:w="341"/>
      </w:tblGrid>
      <w:tr w:rsidR="009C4942">
        <w:tblPrEx>
          <w:tblCellMar>
            <w:top w:w="0" w:type="dxa"/>
            <w:bottom w:w="0" w:type="dxa"/>
          </w:tblCellMar>
        </w:tblPrEx>
        <w:trPr>
          <w:trHeight w:hRule="exact" w:val="101"/>
        </w:trPr>
        <w:tc>
          <w:tcPr>
            <w:tcW w:w="314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Z</w:t>
            </w:r>
          </w:p>
        </w:tc>
        <w:tc>
          <w:tcPr>
            <w:tcW w:w="197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917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541 01</w:t>
            </w:r>
          </w:p>
        </w:tc>
        <w:tc>
          <w:tcPr>
            <w:tcW w:w="2420" w:type="dxa"/>
            <w:gridSpan w:val="2"/>
            <w:shd w:val="clear" w:color="auto" w:fill="FFFFFF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AUTOSTYL a. s.</w:t>
            </w:r>
          </w:p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Horská 579</w:t>
            </w:r>
          </w:p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ind w:firstLine="14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Trutnov</w:t>
            </w:r>
          </w:p>
        </w:tc>
        <w:tc>
          <w:tcPr>
            <w:tcW w:w="1973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12" w:h="2333" w:hSpace="72" w:vSpace="878" w:wrap="none" w:hAnchor="page" w:x="739" w:y="851"/>
            </w:pP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50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IČ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24727741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Telefon</w:t>
            </w:r>
          </w:p>
        </w:tc>
        <w:tc>
          <w:tcPr>
            <w:tcW w:w="1632" w:type="dxa"/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+420 499 309 132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12" w:h="2333" w:hSpace="72" w:vSpace="878" w:wrap="none" w:hAnchor="page" w:x="739" w:y="851"/>
              <w:rPr>
                <w:sz w:val="10"/>
                <w:szCs w:val="10"/>
              </w:rPr>
            </w:pP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720" w:type="dxa"/>
            <w:tcBorders>
              <w:left w:val="single" w:sz="4" w:space="0" w:color="auto"/>
            </w:tcBorders>
            <w:shd w:val="clear" w:color="auto" w:fill="FFFFFF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DIČ</w:t>
            </w:r>
          </w:p>
        </w:tc>
        <w:tc>
          <w:tcPr>
            <w:tcW w:w="1642" w:type="dxa"/>
            <w:shd w:val="clear" w:color="auto" w:fill="FFFFFF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CZ24727741</w:t>
            </w:r>
          </w:p>
        </w:tc>
        <w:tc>
          <w:tcPr>
            <w:tcW w:w="778" w:type="dxa"/>
            <w:shd w:val="clear" w:color="auto" w:fill="FFFFFF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Fax</w:t>
            </w:r>
          </w:p>
        </w:tc>
        <w:tc>
          <w:tcPr>
            <w:tcW w:w="1632" w:type="dxa"/>
            <w:shd w:val="clear" w:color="auto" w:fill="FFFFFF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+420 499 309 133</w:t>
            </w:r>
          </w:p>
        </w:tc>
        <w:tc>
          <w:tcPr>
            <w:tcW w:w="341" w:type="dxa"/>
            <w:tcBorders>
              <w:right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12" w:h="2333" w:hSpace="72" w:vSpace="878" w:wrap="none" w:hAnchor="page" w:x="739" w:y="851"/>
              <w:rPr>
                <w:sz w:val="10"/>
                <w:szCs w:val="10"/>
              </w:rPr>
            </w:pP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El adresa</w:t>
            </w:r>
          </w:p>
        </w:tc>
        <w:tc>
          <w:tcPr>
            <w:tcW w:w="164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ind w:firstLine="340"/>
              <w:rPr>
                <w:sz w:val="14"/>
                <w:szCs w:val="14"/>
              </w:rPr>
            </w:pPr>
            <w:hyperlink r:id="rId7" w:history="1">
              <w:r>
                <w:rPr>
                  <w:rFonts w:ascii="Tahoma" w:eastAsia="Tahoma" w:hAnsi="Tahoma" w:cs="Tahoma"/>
                  <w:sz w:val="14"/>
                  <w:szCs w:val="14"/>
                </w:rPr>
                <w:t>toyota@autostyl.eu</w:t>
              </w:r>
            </w:hyperlink>
          </w:p>
        </w:tc>
        <w:tc>
          <w:tcPr>
            <w:tcW w:w="778" w:type="dxa"/>
            <w:tcBorders>
              <w:bottom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12" w:h="2333" w:hSpace="72" w:vSpace="878" w:wrap="none" w:hAnchor="page" w:x="739" w:y="851"/>
              <w:rPr>
                <w:sz w:val="10"/>
                <w:szCs w:val="10"/>
              </w:rPr>
            </w:pPr>
          </w:p>
        </w:tc>
        <w:tc>
          <w:tcPr>
            <w:tcW w:w="1632" w:type="dxa"/>
            <w:tcBorders>
              <w:bottom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12" w:h="2333" w:hSpace="72" w:vSpace="878" w:wrap="none" w:hAnchor="page" w:x="739" w:y="851"/>
              <w:rPr>
                <w:sz w:val="10"/>
                <w:szCs w:val="10"/>
              </w:rPr>
            </w:pPr>
          </w:p>
        </w:tc>
        <w:tc>
          <w:tcPr>
            <w:tcW w:w="34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5112" w:h="2333" w:hSpace="72" w:vSpace="878" w:wrap="none" w:hAnchor="page" w:x="739" w:y="851"/>
              <w:shd w:val="clear" w:color="auto" w:fill="auto"/>
              <w:tabs>
                <w:tab w:val="left" w:leader="underscore" w:pos="221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ab/>
              <w:t>y</w:t>
            </w:r>
          </w:p>
        </w:tc>
      </w:tr>
    </w:tbl>
    <w:p w:rsidR="009C4942" w:rsidRDefault="009C4942">
      <w:pPr>
        <w:framePr w:w="5112" w:h="2333" w:hSpace="72" w:vSpace="878" w:wrap="none" w:hAnchor="page" w:x="739" w:y="851"/>
        <w:spacing w:line="1" w:lineRule="exact"/>
      </w:pPr>
    </w:p>
    <w:p w:rsidR="009C4942" w:rsidRDefault="00162EB3">
      <w:pPr>
        <w:pStyle w:val="Titulektabulky0"/>
        <w:framePr w:w="4478" w:h="874" w:wrap="none" w:hAnchor="page" w:x="667" w:y="3189"/>
        <w:shd w:val="clear" w:color="auto" w:fill="auto"/>
        <w:tabs>
          <w:tab w:val="left" w:pos="1421"/>
          <w:tab w:val="right" w:pos="4104"/>
        </w:tabs>
        <w:spacing w:line="240" w:lineRule="auto"/>
        <w:rPr>
          <w:sz w:val="16"/>
          <w:szCs w:val="16"/>
        </w:rPr>
      </w:pPr>
      <w:r>
        <w:t>Bankovní spojení</w:t>
      </w:r>
      <w:r>
        <w:rPr>
          <w:rFonts w:ascii="Tahoma" w:eastAsia="Tahoma" w:hAnsi="Tahoma" w:cs="Tahoma"/>
          <w:i w:val="0"/>
          <w:iCs w:val="0"/>
          <w:sz w:val="16"/>
          <w:szCs w:val="16"/>
        </w:rPr>
        <w:tab/>
        <w:t>Československá obchodní banka a.</w:t>
      </w:r>
      <w:r>
        <w:rPr>
          <w:rFonts w:ascii="Tahoma" w:eastAsia="Tahoma" w:hAnsi="Tahoma" w:cs="Tahoma"/>
          <w:i w:val="0"/>
          <w:iCs w:val="0"/>
          <w:sz w:val="16"/>
          <w:szCs w:val="16"/>
        </w:rPr>
        <w:tab/>
        <w:t>s.</w:t>
      </w:r>
    </w:p>
    <w:p w:rsidR="009C4942" w:rsidRDefault="00162EB3">
      <w:pPr>
        <w:pStyle w:val="Titulektabulky0"/>
        <w:framePr w:w="4478" w:h="874" w:wrap="none" w:hAnchor="page" w:x="667" w:y="3189"/>
        <w:shd w:val="clear" w:color="auto" w:fill="auto"/>
        <w:tabs>
          <w:tab w:val="left" w:pos="1421"/>
        </w:tabs>
        <w:spacing w:line="240" w:lineRule="auto"/>
        <w:rPr>
          <w:sz w:val="16"/>
          <w:szCs w:val="16"/>
        </w:rPr>
      </w:pPr>
      <w:proofErr w:type="spellStart"/>
      <w:r>
        <w:rPr>
          <w:rFonts w:ascii="Tahoma" w:eastAsia="Tahoma" w:hAnsi="Tahoma" w:cs="Tahoma"/>
          <w:i w:val="0"/>
          <w:iCs w:val="0"/>
          <w:sz w:val="16"/>
          <w:szCs w:val="16"/>
        </w:rPr>
        <w:t>Ós</w:t>
      </w:r>
      <w:proofErr w:type="spellEnd"/>
      <w:r>
        <w:rPr>
          <w:rFonts w:ascii="Tahoma" w:eastAsia="Tahoma" w:hAnsi="Tahoma" w:cs="Tahoma"/>
          <w:i w:val="0"/>
          <w:iCs w:val="0"/>
          <w:sz w:val="16"/>
          <w:szCs w:val="16"/>
        </w:rPr>
        <w:t xml:space="preserve">/o </w:t>
      </w:r>
      <w:r>
        <w:t>účtu</w:t>
      </w:r>
      <w:r>
        <w:rPr>
          <w:rFonts w:ascii="Tahoma" w:eastAsia="Tahoma" w:hAnsi="Tahoma" w:cs="Tahoma"/>
          <w:i w:val="0"/>
          <w:iCs w:val="0"/>
          <w:sz w:val="16"/>
          <w:szCs w:val="16"/>
        </w:rPr>
        <w:tab/>
        <w:t>183779378/0300</w:t>
      </w:r>
    </w:p>
    <w:p w:rsidR="009C4942" w:rsidRDefault="00162EB3">
      <w:pPr>
        <w:pStyle w:val="Titulektabulky0"/>
        <w:framePr w:w="4478" w:h="874" w:wrap="none" w:hAnchor="page" w:x="667" w:y="3189"/>
        <w:shd w:val="clear" w:color="auto" w:fill="auto"/>
        <w:tabs>
          <w:tab w:val="left" w:pos="1426"/>
          <w:tab w:val="left" w:pos="2141"/>
        </w:tabs>
        <w:spacing w:line="240" w:lineRule="auto"/>
        <w:rPr>
          <w:sz w:val="16"/>
          <w:szCs w:val="16"/>
        </w:rPr>
      </w:pPr>
      <w:r>
        <w:t>IBAN</w:t>
      </w:r>
      <w:r>
        <w:rPr>
          <w:rFonts w:ascii="Tahoma" w:eastAsia="Tahoma" w:hAnsi="Tahoma" w:cs="Tahoma"/>
          <w:i w:val="0"/>
          <w:iCs w:val="0"/>
          <w:sz w:val="16"/>
          <w:szCs w:val="16"/>
        </w:rPr>
        <w:tab/>
        <w:t>0300</w:t>
      </w:r>
      <w:r>
        <w:rPr>
          <w:rFonts w:ascii="Tahoma" w:eastAsia="Tahoma" w:hAnsi="Tahoma" w:cs="Tahoma"/>
          <w:i w:val="0"/>
          <w:iCs w:val="0"/>
          <w:sz w:val="16"/>
          <w:szCs w:val="16"/>
        </w:rPr>
        <w:tab/>
        <w:t>0183779378</w:t>
      </w:r>
    </w:p>
    <w:p w:rsidR="009C4942" w:rsidRDefault="00162EB3">
      <w:pPr>
        <w:pStyle w:val="Titulektabulky0"/>
        <w:framePr w:w="4478" w:h="874" w:wrap="none" w:hAnchor="page" w:x="667" w:y="3189"/>
        <w:shd w:val="clear" w:color="auto" w:fill="auto"/>
        <w:spacing w:line="240" w:lineRule="auto"/>
      </w:pPr>
      <w:r>
        <w:t xml:space="preserve">Firma je zapsána u Krajského soudu v Hradci Králové, </w:t>
      </w:r>
      <w:r>
        <w:rPr>
          <w:lang w:val="en-US" w:eastAsia="en-US" w:bidi="en-US"/>
        </w:rPr>
        <w:t xml:space="preserve">odd. </w:t>
      </w:r>
      <w:r>
        <w:t xml:space="preserve">B, </w:t>
      </w:r>
      <w:proofErr w:type="spellStart"/>
      <w:r>
        <w:t>vl</w:t>
      </w:r>
      <w:proofErr w:type="spellEnd"/>
      <w:r>
        <w:t xml:space="preserve"> 2950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5"/>
        <w:gridCol w:w="2410"/>
        <w:gridCol w:w="1661"/>
        <w:gridCol w:w="350"/>
      </w:tblGrid>
      <w:tr w:rsidR="009C4942">
        <w:tblPrEx>
          <w:tblCellMar>
            <w:top w:w="0" w:type="dxa"/>
            <w:bottom w:w="0" w:type="dxa"/>
          </w:tblCellMar>
        </w:tblPrEx>
        <w:trPr>
          <w:trHeight w:hRule="exact" w:val="128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spacing w:after="66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z"</w:t>
            </w:r>
          </w:p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544 01</w:t>
            </w:r>
          </w:p>
        </w:tc>
        <w:tc>
          <w:tcPr>
            <w:tcW w:w="442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spacing w:before="80" w:line="266" w:lineRule="auto"/>
              <w:ind w:left="16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Lesy města Dvůr Králové nad Labem s.r.o. Bc. Petr Kupský</w:t>
            </w:r>
          </w:p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spacing w:line="266" w:lineRule="auto"/>
              <w:ind w:firstLine="16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Raisova 2824</w:t>
            </w:r>
          </w:p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spacing w:line="266" w:lineRule="auto"/>
              <w:ind w:firstLine="160"/>
              <w:rPr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Dvůr Králové nad Labem</w:t>
            </w: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IČ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tabs>
                <w:tab w:val="left" w:pos="1714"/>
              </w:tabs>
              <w:rPr>
                <w:sz w:val="13"/>
                <w:szCs w:val="13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27553884</w:t>
            </w: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ab/>
            </w: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Mobil</w:t>
            </w:r>
          </w:p>
        </w:tc>
        <w:tc>
          <w:tcPr>
            <w:tcW w:w="1661" w:type="dxa"/>
            <w:shd w:val="clear" w:color="auto" w:fill="FFFFFF"/>
            <w:vAlign w:val="bottom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+420 605 746 276</w:t>
            </w:r>
          </w:p>
        </w:tc>
        <w:tc>
          <w:tcPr>
            <w:tcW w:w="350" w:type="dxa"/>
            <w:tcBorders>
              <w:right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36" w:h="2616" w:wrap="none" w:hAnchor="page" w:x="6163" w:y="842"/>
              <w:rPr>
                <w:sz w:val="10"/>
                <w:szCs w:val="10"/>
              </w:rPr>
            </w:pP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15" w:type="dxa"/>
            <w:tcBorders>
              <w:left w:val="single" w:sz="4" w:space="0" w:color="auto"/>
            </w:tcBorders>
            <w:shd w:val="clear" w:color="auto" w:fill="FFFFFF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DIČ</w:t>
            </w:r>
          </w:p>
        </w:tc>
        <w:tc>
          <w:tcPr>
            <w:tcW w:w="2410" w:type="dxa"/>
            <w:shd w:val="clear" w:color="auto" w:fill="FFFFFF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rPr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bCs/>
                <w:sz w:val="16"/>
                <w:szCs w:val="16"/>
              </w:rPr>
              <w:t>CZ27553884</w:t>
            </w:r>
          </w:p>
        </w:tc>
        <w:tc>
          <w:tcPr>
            <w:tcW w:w="1661" w:type="dxa"/>
            <w:shd w:val="clear" w:color="auto" w:fill="FFFFFF"/>
          </w:tcPr>
          <w:p w:rsidR="009C4942" w:rsidRDefault="009C4942">
            <w:pPr>
              <w:framePr w:w="5136" w:h="2616" w:wrap="none" w:hAnchor="page" w:x="6163" w:y="842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right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36" w:h="2616" w:wrap="none" w:hAnchor="page" w:x="6163" w:y="842"/>
              <w:rPr>
                <w:sz w:val="10"/>
                <w:szCs w:val="10"/>
              </w:rPr>
            </w:pPr>
          </w:p>
        </w:tc>
      </w:tr>
      <w:tr w:rsidR="009C4942">
        <w:tblPrEx>
          <w:tblCellMar>
            <w:top w:w="0" w:type="dxa"/>
            <w:bottom w:w="0" w:type="dxa"/>
          </w:tblCellMar>
        </w:tblPrEx>
        <w:trPr>
          <w:trHeight w:hRule="exact" w:val="456"/>
        </w:trPr>
        <w:tc>
          <w:tcPr>
            <w:tcW w:w="7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rPr>
                <w:sz w:val="13"/>
                <w:szCs w:val="13"/>
              </w:rPr>
            </w:pPr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 xml:space="preserve">El. </w:t>
            </w:r>
            <w:proofErr w:type="gramStart"/>
            <w:r>
              <w:rPr>
                <w:rFonts w:ascii="Arial" w:eastAsia="Arial" w:hAnsi="Arial" w:cs="Arial"/>
                <w:i/>
                <w:iCs/>
                <w:sz w:val="13"/>
                <w:szCs w:val="13"/>
              </w:rPr>
              <w:t>adresa</w:t>
            </w:r>
            <w:proofErr w:type="gramEnd"/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ind w:firstLine="360"/>
              <w:rPr>
                <w:sz w:val="14"/>
                <w:szCs w:val="14"/>
              </w:rPr>
            </w:pPr>
            <w:hyperlink r:id="rId8" w:history="1">
              <w:r>
                <w:rPr>
                  <w:rFonts w:ascii="Tahoma" w:eastAsia="Tahoma" w:hAnsi="Tahoma" w:cs="Tahoma"/>
                  <w:sz w:val="14"/>
                  <w:szCs w:val="14"/>
                  <w:lang w:val="en-US" w:eastAsia="en-US" w:bidi="en-US"/>
                </w:rPr>
                <w:t>kupsky@lesydvur.cz</w:t>
              </w:r>
            </w:hyperlink>
          </w:p>
        </w:tc>
        <w:tc>
          <w:tcPr>
            <w:tcW w:w="1661" w:type="dxa"/>
            <w:tcBorders>
              <w:bottom w:val="single" w:sz="4" w:space="0" w:color="auto"/>
            </w:tcBorders>
            <w:shd w:val="clear" w:color="auto" w:fill="FFFFFF"/>
          </w:tcPr>
          <w:p w:rsidR="009C4942" w:rsidRDefault="009C4942">
            <w:pPr>
              <w:framePr w:w="5136" w:h="2616" w:wrap="none" w:hAnchor="page" w:x="6163" w:y="842"/>
              <w:rPr>
                <w:sz w:val="10"/>
                <w:szCs w:val="10"/>
              </w:rPr>
            </w:pPr>
          </w:p>
        </w:tc>
        <w:tc>
          <w:tcPr>
            <w:tcW w:w="3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C4942" w:rsidRDefault="00162EB3">
            <w:pPr>
              <w:pStyle w:val="Jin0"/>
              <w:framePr w:w="5136" w:h="2616" w:wrap="none" w:hAnchor="page" w:x="6163" w:y="842"/>
              <w:shd w:val="clear" w:color="auto" w:fill="auto"/>
              <w:tabs>
                <w:tab w:val="left" w:leader="dot" w:pos="221"/>
              </w:tabs>
              <w:rPr>
                <w:sz w:val="10"/>
                <w:szCs w:val="1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ab/>
              <w:t>y</w:t>
            </w:r>
          </w:p>
        </w:tc>
      </w:tr>
    </w:tbl>
    <w:p w:rsidR="009C4942" w:rsidRDefault="009C4942">
      <w:pPr>
        <w:framePr w:w="5136" w:h="2616" w:wrap="none" w:hAnchor="page" w:x="6163" w:y="842"/>
        <w:spacing w:line="1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after="461" w:line="1" w:lineRule="exact"/>
      </w:pPr>
    </w:p>
    <w:p w:rsidR="009C4942" w:rsidRDefault="009C4942">
      <w:pPr>
        <w:spacing w:line="1" w:lineRule="exact"/>
        <w:sectPr w:rsidR="009C4942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782" w:right="449" w:bottom="662" w:left="565" w:header="0" w:footer="3" w:gutter="0"/>
          <w:pgNumType w:start="1"/>
          <w:cols w:space="720"/>
          <w:noEndnote/>
          <w:titlePg/>
          <w:docGrid w:linePitch="360"/>
        </w:sectPr>
      </w:pPr>
    </w:p>
    <w:p w:rsidR="009C4942" w:rsidRDefault="00162EB3">
      <w:pPr>
        <w:pStyle w:val="Zkladntext20"/>
        <w:pBdr>
          <w:top w:val="single" w:sz="4" w:space="0" w:color="auto"/>
        </w:pBdr>
        <w:shd w:val="clear" w:color="auto" w:fill="auto"/>
        <w:spacing w:line="240" w:lineRule="auto"/>
        <w:ind w:firstLine="160"/>
      </w:pPr>
      <w:r>
        <w:rPr>
          <w:b/>
          <w:bCs/>
        </w:rPr>
        <w:t>I. PŘEDMĚT KOUPĚ</w:t>
      </w:r>
    </w:p>
    <w:p w:rsidR="009C4942" w:rsidRDefault="00162EB3">
      <w:pPr>
        <w:pStyle w:val="Zkladntext30"/>
        <w:shd w:val="clear" w:color="auto" w:fill="auto"/>
        <w:ind w:left="1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358775</wp:posOffset>
                </wp:positionH>
                <wp:positionV relativeFrom="paragraph">
                  <wp:posOffset>12700</wp:posOffset>
                </wp:positionV>
                <wp:extent cx="749935" cy="88074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935" cy="880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42" w:rsidRDefault="00162EB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Typ /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Model: Barva:</w:t>
                            </w:r>
                          </w:p>
                          <w:p w:rsidR="009C4942" w:rsidRDefault="00162EB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SFX:</w:t>
                            </w:r>
                          </w:p>
                          <w:p w:rsidR="009C4942" w:rsidRDefault="00162EB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Karoserie:</w:t>
                            </w:r>
                          </w:p>
                          <w:p w:rsidR="009C4942" w:rsidRDefault="00162EB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Interiér: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8.25pt;margin-top:1.pt;width:59.049999999999997pt;height:69.349999999999994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Typ / Model: Barva: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SFX: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Karoserie:</w:t>
                      </w:r>
                    </w:p>
                    <w:p>
                      <w:pPr>
                        <w:pStyle w:val="Style2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Interiér: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Osobní / GUN126L-DNFHXW - </w:t>
      </w:r>
      <w:proofErr w:type="spellStart"/>
      <w:r>
        <w:t>Hilux</w:t>
      </w:r>
      <w:proofErr w:type="spellEnd"/>
      <w:r>
        <w:t xml:space="preserve"> RC21 - 4D - </w:t>
      </w:r>
      <w:r>
        <w:rPr>
          <w:lang w:val="en-US" w:eastAsia="en-US" w:bidi="en-US"/>
        </w:rPr>
        <w:t xml:space="preserve">Pick Up </w:t>
      </w:r>
      <w:r>
        <w:t xml:space="preserve">Double </w:t>
      </w:r>
      <w:r>
        <w:rPr>
          <w:lang w:val="en-US" w:eastAsia="en-US" w:bidi="en-US"/>
        </w:rPr>
        <w:t xml:space="preserve">Cab </w:t>
      </w:r>
      <w:r>
        <w:t>- 2.8L Diesel 6X1 - Oxide Bronze</w:t>
      </w:r>
    </w:p>
    <w:p w:rsidR="009C4942" w:rsidRDefault="00162EB3">
      <w:pPr>
        <w:pStyle w:val="Zkladntext30"/>
        <w:shd w:val="clear" w:color="auto" w:fill="auto"/>
        <w:ind w:firstLine="160"/>
      </w:pPr>
      <w:r>
        <w:rPr>
          <w:lang w:val="en-US" w:eastAsia="en-US" w:bidi="en-US"/>
        </w:rPr>
        <w:t xml:space="preserve">Active </w:t>
      </w:r>
      <w:r>
        <w:t>(NH)</w:t>
      </w:r>
    </w:p>
    <w:p w:rsidR="009C4942" w:rsidRDefault="00162EB3">
      <w:pPr>
        <w:pStyle w:val="Zkladntext30"/>
        <w:shd w:val="clear" w:color="auto" w:fill="auto"/>
        <w:ind w:firstLine="160"/>
      </w:pPr>
      <w:r>
        <w:t xml:space="preserve">PU - 4 </w:t>
      </w:r>
      <w:proofErr w:type="spellStart"/>
      <w:r>
        <w:t>dv</w:t>
      </w:r>
      <w:proofErr w:type="spellEnd"/>
      <w:r>
        <w:t>.</w:t>
      </w:r>
    </w:p>
    <w:p w:rsidR="009C4942" w:rsidRDefault="00162EB3">
      <w:pPr>
        <w:pStyle w:val="Zkladntext30"/>
        <w:shd w:val="clear" w:color="auto" w:fill="auto"/>
        <w:ind w:firstLine="160"/>
      </w:pPr>
      <w:r>
        <w:t xml:space="preserve">20/FE - BLACK/MD. </w:t>
      </w:r>
      <w:r>
        <w:rPr>
          <w:lang w:val="en-US" w:eastAsia="en-US" w:bidi="en-US"/>
        </w:rPr>
        <w:t>BROWN</w:t>
      </w:r>
    </w:p>
    <w:p w:rsidR="009C4942" w:rsidRDefault="00162EB3">
      <w:pPr>
        <w:pStyle w:val="Zkladntext30"/>
        <w:shd w:val="clear" w:color="auto" w:fill="auto"/>
      </w:pPr>
      <w:r>
        <w:rPr>
          <w:noProof/>
          <w:lang w:bidi="ar-SA"/>
        </w:rPr>
        <mc:AlternateContent>
          <mc:Choice Requires="wps">
            <w:drawing>
              <wp:anchor distT="658495" distB="0" distL="0" distR="0" simplePos="0" relativeHeight="125829380" behindDoc="0" locked="0" layoutInCell="1" allowOverlap="1">
                <wp:simplePos x="0" y="0"/>
                <wp:positionH relativeFrom="page">
                  <wp:posOffset>367665</wp:posOffset>
                </wp:positionH>
                <wp:positionV relativeFrom="paragraph">
                  <wp:posOffset>823595</wp:posOffset>
                </wp:positionV>
                <wp:extent cx="6897370" cy="144462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7370" cy="1444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7"/>
                              <w:gridCol w:w="4354"/>
                              <w:gridCol w:w="2011"/>
                              <w:gridCol w:w="1661"/>
                            </w:tblGrid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54"/>
                                <w:tblHeader/>
                              </w:trPr>
                              <w:tc>
                                <w:tcPr>
                                  <w:tcW w:w="2837" w:type="dxa"/>
                                  <w:shd w:val="clear" w:color="auto" w:fill="FFFFFF"/>
                                </w:tcPr>
                                <w:p w:rsidR="009C4942" w:rsidRDefault="009C49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6" w:type="dxa"/>
                                  <w:gridSpan w:val="3"/>
                                  <w:shd w:val="clear" w:color="auto" w:fill="FFFFFF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spacing w:line="286" w:lineRule="auto"/>
                                    <w:ind w:left="1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  <w:lang w:val="en-US" w:eastAsia="en-US" w:bidi="en-US"/>
                                    </w:rPr>
                                    <w:t xml:space="preserve">Hardtop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plastový - výklopná okna v barvě vozu Tažné zařízení pevné 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7pin</w:t>
                                  </w:r>
                                </w:p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spacing w:line="286" w:lineRule="auto"/>
                                    <w:ind w:left="12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Ochrana podvozku železo</w:t>
                                  </w:r>
                                </w:p>
                              </w:tc>
                            </w:tr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3"/>
                              </w:trPr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ind w:firstLine="14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II. KUPNÍ CENA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942" w:rsidRDefault="009C49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942" w:rsidRDefault="009C49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942" w:rsidRDefault="009C49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837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C4942" w:rsidRDefault="009C494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5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ind w:right="500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Bez DPH</w:t>
                                  </w:r>
                                </w:p>
                              </w:tc>
                              <w:tc>
                                <w:tcPr>
                                  <w:tcW w:w="201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ind w:left="128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6"/>
                                      <w:szCs w:val="16"/>
                                    </w:rPr>
                                    <w:t>SDPH</w:t>
                                  </w:r>
                                </w:p>
                              </w:tc>
                            </w:tr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2837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Cena automobilu: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left="27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4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3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837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Sleva: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162EB3" w:rsidP="002809C8">
                                  <w:pPr>
                                    <w:pStyle w:val="Jin0"/>
                                    <w:shd w:val="clear" w:color="auto" w:fill="auto"/>
                                    <w:ind w:right="500"/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proofErr w:type="spellStart"/>
                                  <w:r w:rsidR="002809C8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4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661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3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5"/>
                              </w:trPr>
                              <w:tc>
                                <w:tcPr>
                                  <w:tcW w:w="2837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Cena příslušenství: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left="28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5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  <w:shd w:val="clear" w:color="auto" w:fill="FFFFFF"/>
                                  <w:vAlign w:val="bottom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5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</w:tr>
                            <w:tr w:rsidR="009C494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</w:trPr>
                              <w:tc>
                                <w:tcPr>
                                  <w:tcW w:w="2837" w:type="dxa"/>
                                  <w:shd w:val="clear" w:color="auto" w:fill="FFFFFF"/>
                                </w:tcPr>
                                <w:p w:rsidR="009C4942" w:rsidRDefault="00162EB3">
                                  <w:pPr>
                                    <w:pStyle w:val="Jin0"/>
                                    <w:shd w:val="clear" w:color="auto" w:fill="auto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Celková kupní cena:</w:t>
                                  </w:r>
                                </w:p>
                              </w:tc>
                              <w:tc>
                                <w:tcPr>
                                  <w:tcW w:w="4354" w:type="dxa"/>
                                  <w:shd w:val="clear" w:color="auto" w:fill="FFFFFF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left="27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011" w:type="dxa"/>
                                  <w:shd w:val="clear" w:color="auto" w:fill="FFFFFF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4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Kč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61" w:type="dxa"/>
                                  <w:shd w:val="clear" w:color="auto" w:fill="FFFFFF"/>
                                </w:tcPr>
                                <w:p w:rsidR="009C4942" w:rsidRDefault="002809C8" w:rsidP="002809C8">
                                  <w:pPr>
                                    <w:pStyle w:val="Jin0"/>
                                    <w:shd w:val="clear" w:color="auto" w:fill="auto"/>
                                    <w:ind w:firstLine="52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 xml:space="preserve">         </w:t>
                                  </w:r>
                                  <w:proofErr w:type="spellStart"/>
                                  <w:r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xxxK</w:t>
                                  </w:r>
                                  <w:r w:rsidR="00162EB3">
                                    <w:rPr>
                                      <w:rFonts w:ascii="Tahoma" w:eastAsia="Tahoma" w:hAnsi="Tahoma" w:cs="Tahoma"/>
                                      <w:sz w:val="18"/>
                                      <w:szCs w:val="18"/>
                                    </w:rPr>
                                    <w:t>č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C4942" w:rsidRDefault="009C494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3" o:spid="_x0000_s1027" type="#_x0000_t202" style="position:absolute;margin-left:28.95pt;margin-top:64.85pt;width:543.1pt;height:113.75pt;z-index:125829380;visibility:visible;mso-wrap-style:square;mso-wrap-distance-left:0;mso-wrap-distance-top:51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dDhQEAAAYDAAAOAAAAZHJzL2Uyb0RvYy54bWysUstOwzAQvCPxD5bvNOmDtk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7"/>
                        <w:gridCol w:w="4354"/>
                        <w:gridCol w:w="2011"/>
                        <w:gridCol w:w="1661"/>
                      </w:tblGrid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54"/>
                          <w:tblHeader/>
                        </w:trPr>
                        <w:tc>
                          <w:tcPr>
                            <w:tcW w:w="2837" w:type="dxa"/>
                            <w:shd w:val="clear" w:color="auto" w:fill="FFFFFF"/>
                          </w:tcPr>
                          <w:p w:rsidR="009C4942" w:rsidRDefault="009C49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6" w:type="dxa"/>
                            <w:gridSpan w:val="3"/>
                            <w:shd w:val="clear" w:color="auto" w:fill="FFFFFF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spacing w:line="286" w:lineRule="auto"/>
                              <w:ind w:left="1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Hardtop 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plastový - výklopná okna v barvě vozu Tažné zařízení pevné 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7pin</w:t>
                            </w:r>
                          </w:p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spacing w:line="286" w:lineRule="auto"/>
                              <w:ind w:left="12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Ochrana podvozku železo</w:t>
                            </w:r>
                          </w:p>
                        </w:tc>
                      </w:tr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3"/>
                        </w:trPr>
                        <w:tc>
                          <w:tcPr>
                            <w:tcW w:w="28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ind w:firstLine="1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II. KUPNÍ CENA</w:t>
                            </w: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C4942" w:rsidRDefault="009C49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C4942" w:rsidRDefault="009C49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9C4942" w:rsidRDefault="009C49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837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C4942" w:rsidRDefault="009C494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5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ind w:right="500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Bez DPH</w:t>
                            </w:r>
                          </w:p>
                        </w:tc>
                        <w:tc>
                          <w:tcPr>
                            <w:tcW w:w="201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ind w:left="128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1661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6"/>
                                <w:szCs w:val="16"/>
                              </w:rPr>
                              <w:t>SDPH</w:t>
                            </w:r>
                          </w:p>
                        </w:tc>
                      </w:tr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2837" w:type="dxa"/>
                            <w:shd w:val="clear" w:color="auto" w:fill="FFFFFF"/>
                            <w:vAlign w:val="bottom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Cena automobilu:</w:t>
                            </w:r>
                          </w:p>
                        </w:tc>
                        <w:tc>
                          <w:tcPr>
                            <w:tcW w:w="4354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left="2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4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3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837" w:type="dxa"/>
                            <w:shd w:val="clear" w:color="auto" w:fill="FFFFFF"/>
                            <w:vAlign w:val="bottom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Sleva:</w:t>
                            </w:r>
                          </w:p>
                        </w:tc>
                        <w:tc>
                          <w:tcPr>
                            <w:tcW w:w="4354" w:type="dxa"/>
                            <w:shd w:val="clear" w:color="auto" w:fill="FFFFFF"/>
                            <w:vAlign w:val="bottom"/>
                          </w:tcPr>
                          <w:p w:rsidR="009C4942" w:rsidRDefault="00162EB3" w:rsidP="002809C8">
                            <w:pPr>
                              <w:pStyle w:val="Jin0"/>
                              <w:shd w:val="clear" w:color="auto" w:fill="auto"/>
                              <w:ind w:right="500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- </w:t>
                            </w:r>
                            <w:proofErr w:type="spellStart"/>
                            <w:r w:rsidR="002809C8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4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                      </w:t>
                            </w:r>
                          </w:p>
                        </w:tc>
                        <w:tc>
                          <w:tcPr>
                            <w:tcW w:w="1661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3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5"/>
                        </w:trPr>
                        <w:tc>
                          <w:tcPr>
                            <w:tcW w:w="2837" w:type="dxa"/>
                            <w:shd w:val="clear" w:color="auto" w:fill="FFFFFF"/>
                            <w:vAlign w:val="bottom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Cena příslušenství:</w:t>
                            </w:r>
                          </w:p>
                        </w:tc>
                        <w:tc>
                          <w:tcPr>
                            <w:tcW w:w="4354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left="28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58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  <w:shd w:val="clear" w:color="auto" w:fill="FFFFFF"/>
                            <w:vAlign w:val="bottom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5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</w:tr>
                      <w:tr w:rsidR="009C494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</w:trPr>
                        <w:tc>
                          <w:tcPr>
                            <w:tcW w:w="2837" w:type="dxa"/>
                            <w:shd w:val="clear" w:color="auto" w:fill="FFFFFF"/>
                          </w:tcPr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Celková kupní cena:</w:t>
                            </w:r>
                          </w:p>
                        </w:tc>
                        <w:tc>
                          <w:tcPr>
                            <w:tcW w:w="4354" w:type="dxa"/>
                            <w:shd w:val="clear" w:color="auto" w:fill="FFFFFF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left="27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2011" w:type="dxa"/>
                            <w:shd w:val="clear" w:color="auto" w:fill="FFFFFF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4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Kč</w:t>
                            </w:r>
                            <w:proofErr w:type="spellEnd"/>
                          </w:p>
                        </w:tc>
                        <w:tc>
                          <w:tcPr>
                            <w:tcW w:w="1661" w:type="dxa"/>
                            <w:shd w:val="clear" w:color="auto" w:fill="FFFFFF"/>
                          </w:tcPr>
                          <w:p w:rsidR="009C4942" w:rsidRDefault="002809C8" w:rsidP="002809C8">
                            <w:pPr>
                              <w:pStyle w:val="Jin0"/>
                              <w:shd w:val="clear" w:color="auto" w:fill="auto"/>
                              <w:ind w:firstLine="52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proofErr w:type="spellStart"/>
                            <w:r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xxxK</w:t>
                            </w:r>
                            <w:r w:rsidR="00162EB3">
                              <w:rPr>
                                <w:rFonts w:ascii="Tahoma" w:eastAsia="Tahoma" w:hAnsi="Tahoma" w:cs="Tahoma"/>
                                <w:sz w:val="18"/>
                                <w:szCs w:val="18"/>
                              </w:rPr>
                              <w:t>č</w:t>
                            </w:r>
                            <w:proofErr w:type="spellEnd"/>
                          </w:p>
                        </w:tc>
                      </w:tr>
                    </w:tbl>
                    <w:p w:rsidR="009C4942" w:rsidRDefault="009C494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2940050</wp:posOffset>
                </wp:positionH>
                <wp:positionV relativeFrom="paragraph">
                  <wp:posOffset>165100</wp:posOffset>
                </wp:positionV>
                <wp:extent cx="1807210" cy="65532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210" cy="6553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42" w:rsidRDefault="00162EB3">
                            <w:pPr>
                              <w:pStyle w:val="Titulektabulky0"/>
                              <w:shd w:val="clear" w:color="auto" w:fill="auto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Povinná výbava</w:t>
                            </w:r>
                          </w:p>
                          <w:p w:rsidR="009C4942" w:rsidRDefault="00162EB3">
                            <w:pPr>
                              <w:pStyle w:val="Titulektabulky0"/>
                              <w:shd w:val="clear" w:color="auto" w:fill="auto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Koberečky</w:t>
                            </w:r>
                          </w:p>
                          <w:p w:rsidR="009C4942" w:rsidRDefault="00162EB3">
                            <w:pPr>
                              <w:pStyle w:val="Titulektabulky0"/>
                              <w:shd w:val="clear" w:color="auto" w:fill="auto"/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i w:val="0"/>
                                <w:iCs w:val="0"/>
                                <w:sz w:val="18"/>
                                <w:szCs w:val="18"/>
                              </w:rPr>
                              <w:t>Plastové obložení bez přehnutí Ochranné fólie proti poškození laku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231.5pt;margin-top:13.pt;width:142.30000000000001pt;height:51.6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Povinná výbava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Koberečky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ascii="Tahoma" w:eastAsia="Tahoma" w:hAnsi="Tahoma" w:cs="Tahoma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Plastové obložení bez přehnutí Ochranné fólie proti poškození laku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 w:val="0"/>
          <w:bCs w:val="0"/>
        </w:rPr>
        <w:t>Příslušenství automobilu (doplňky)</w:t>
      </w:r>
    </w:p>
    <w:p w:rsidR="009C4942" w:rsidRDefault="009C4942">
      <w:pPr>
        <w:pStyle w:val="Zkladntext20"/>
        <w:shd w:val="clear" w:color="auto" w:fill="auto"/>
        <w:spacing w:after="0" w:line="298" w:lineRule="auto"/>
        <w:ind w:left="1780"/>
      </w:pPr>
    </w:p>
    <w:p w:rsidR="009C4942" w:rsidRDefault="00162EB3">
      <w:pPr>
        <w:pStyle w:val="Zkladntext20"/>
        <w:shd w:val="clear" w:color="auto" w:fill="auto"/>
        <w:spacing w:after="62"/>
      </w:pPr>
      <w:r>
        <w:t xml:space="preserve">* Sjednaná celková kupní cena zahrnuje daň z přidané hodnoty ve výši </w:t>
      </w:r>
      <w:r>
        <w:t>dle sazby daně platné ke dni uzavření této kupní smlouvy. Bude-li na základě zákona nutno uplatnit daň v jiné výši, zejména v důsledku změny sazby daně po uzavření této kupní smlouvy, změní se automaticky kupní cena o vzniklý rozdíl ve výši daně.</w:t>
      </w:r>
    </w:p>
    <w:p w:rsidR="009C4942" w:rsidRDefault="00162EB3">
      <w:pPr>
        <w:pStyle w:val="Zkladntext20"/>
        <w:pBdr>
          <w:top w:val="single" w:sz="0" w:space="2" w:color="C7C7C7"/>
          <w:left w:val="single" w:sz="0" w:space="0" w:color="C7C7C7"/>
          <w:bottom w:val="single" w:sz="0" w:space="6" w:color="C7C7C7"/>
          <w:right w:val="single" w:sz="0" w:space="0" w:color="C7C7C7"/>
        </w:pBdr>
        <w:shd w:val="clear" w:color="auto" w:fill="C7C7C7"/>
        <w:spacing w:after="0"/>
        <w:ind w:firstLine="160"/>
        <w:jc w:val="both"/>
      </w:pPr>
      <w:r>
        <w:rPr>
          <w:b/>
          <w:bCs/>
        </w:rPr>
        <w:t>III. ZÁLO</w:t>
      </w:r>
      <w:r>
        <w:rPr>
          <w:b/>
          <w:bCs/>
        </w:rPr>
        <w:t>HA</w:t>
      </w:r>
    </w:p>
    <w:p w:rsidR="009C4942" w:rsidRDefault="00162EB3">
      <w:pPr>
        <w:pStyle w:val="Zkladntext20"/>
        <w:shd w:val="clear" w:color="auto" w:fill="auto"/>
        <w:tabs>
          <w:tab w:val="left" w:pos="10181"/>
        </w:tabs>
        <w:spacing w:after="0"/>
        <w:jc w:val="both"/>
      </w:pPr>
      <w:r>
        <w:t>Záloha na kupní cenu:</w:t>
      </w:r>
      <w:r>
        <w:tab/>
      </w:r>
      <w:r>
        <w:rPr>
          <w:b/>
          <w:bCs/>
        </w:rPr>
        <w:t>0,00Kč</w:t>
      </w:r>
    </w:p>
    <w:p w:rsidR="009C4942" w:rsidRDefault="00162EB3">
      <w:pPr>
        <w:pStyle w:val="Zkladntext20"/>
        <w:shd w:val="clear" w:color="auto" w:fill="auto"/>
        <w:spacing w:after="52"/>
      </w:pPr>
      <w:r>
        <w:t>Tuto zálohu a případné další zálohy kupující uhradí převodem na účet prodávajícího s uvedením variabilního symbolu, kterým je číslo této smlouvy, příp. v hotovosti v sídle prodávajícího, a to nejpozději do 7 dnů od podpisu t</w:t>
      </w:r>
      <w:r>
        <w:t>éto smlouvy.</w:t>
      </w:r>
    </w:p>
    <w:p w:rsidR="009C4942" w:rsidRDefault="00162EB3">
      <w:pPr>
        <w:pStyle w:val="Zkladntext20"/>
        <w:pBdr>
          <w:top w:val="single" w:sz="4" w:space="2" w:color="BABABA"/>
          <w:left w:val="single" w:sz="4" w:space="0" w:color="BABABA"/>
          <w:bottom w:val="single" w:sz="4" w:space="6" w:color="BABABA"/>
          <w:right w:val="single" w:sz="4" w:space="0" w:color="BABABA"/>
        </w:pBdr>
        <w:shd w:val="clear" w:color="auto" w:fill="BABABA"/>
        <w:spacing w:after="0" w:line="240" w:lineRule="auto"/>
        <w:ind w:firstLine="160"/>
      </w:pPr>
      <w:r>
        <w:rPr>
          <w:b/>
          <w:bCs/>
        </w:rPr>
        <w:t>IV. PŘEDPOKLÁDANÝ TERMÍN DODÁNÍ:</w:t>
      </w:r>
    </w:p>
    <w:p w:rsidR="009C4942" w:rsidRDefault="00162EB3">
      <w:pPr>
        <w:pStyle w:val="Zkladntext20"/>
        <w:shd w:val="clear" w:color="auto" w:fill="auto"/>
        <w:spacing w:after="0"/>
      </w:pPr>
      <w:r>
        <w:t>Automobil bude kupujícímu odevzdán až po úplném zaplacení kupní ceny.</w:t>
      </w:r>
    </w:p>
    <w:p w:rsidR="009C4942" w:rsidRDefault="00162EB3">
      <w:pPr>
        <w:pStyle w:val="Zkladntext20"/>
        <w:shd w:val="clear" w:color="auto" w:fill="auto"/>
        <w:spacing w:after="52"/>
      </w:pPr>
      <w:r>
        <w:t xml:space="preserve">V případě financování automobilu pomocí leasingu nebo úvěru, bude automobil odevzdán až po řádném uzavření a schválení leasingové nebo </w:t>
      </w:r>
      <w:r>
        <w:t>úvěrové smlouvy dle pravidel poskytovatele těchto finančních produktů.</w:t>
      </w:r>
    </w:p>
    <w:p w:rsidR="009C4942" w:rsidRDefault="00162EB3">
      <w:pPr>
        <w:pStyle w:val="Zkladntext20"/>
        <w:pBdr>
          <w:top w:val="single" w:sz="0" w:space="2" w:color="C6C6C6"/>
          <w:left w:val="single" w:sz="0" w:space="0" w:color="C6C6C6"/>
          <w:bottom w:val="single" w:sz="0" w:space="6" w:color="C6C6C6"/>
          <w:right w:val="single" w:sz="0" w:space="0" w:color="C6C6C6"/>
        </w:pBdr>
        <w:shd w:val="clear" w:color="auto" w:fill="C6C6C6"/>
        <w:spacing w:after="0"/>
        <w:ind w:firstLine="160"/>
      </w:pPr>
      <w:r>
        <w:rPr>
          <w:b/>
          <w:bCs/>
        </w:rPr>
        <w:t>V. PROHLÁŠENÍ KUPUJÍCÍHO</w:t>
      </w:r>
    </w:p>
    <w:p w:rsidR="009C4942" w:rsidRDefault="00162EB3">
      <w:pPr>
        <w:pStyle w:val="Zkladntext20"/>
        <w:shd w:val="clear" w:color="auto" w:fill="auto"/>
        <w:spacing w:after="57"/>
      </w:pPr>
      <w:r>
        <w:t>Kupující prohlašuje, že automobil nekupuje za účelem jeho dalšího prodeje jako nového a nepoužitého.</w:t>
      </w:r>
    </w:p>
    <w:p w:rsidR="009C4942" w:rsidRDefault="00162EB3">
      <w:pPr>
        <w:pStyle w:val="Zkladntext20"/>
        <w:numPr>
          <w:ilvl w:val="0"/>
          <w:numId w:val="1"/>
        </w:numPr>
        <w:pBdr>
          <w:top w:val="single" w:sz="0" w:space="2" w:color="C7C7C7"/>
          <w:left w:val="single" w:sz="0" w:space="0" w:color="C7C7C7"/>
          <w:bottom w:val="single" w:sz="0" w:space="1" w:color="C7C7C7"/>
          <w:right w:val="single" w:sz="0" w:space="0" w:color="C7C7C7"/>
        </w:pBdr>
        <w:shd w:val="clear" w:color="auto" w:fill="C7C7C7"/>
        <w:tabs>
          <w:tab w:val="left" w:pos="610"/>
        </w:tabs>
        <w:spacing w:after="90"/>
        <w:ind w:firstLine="160"/>
      </w:pPr>
      <w:r>
        <w:rPr>
          <w:b/>
          <w:bCs/>
        </w:rPr>
        <w:t>VŠEOBECNÉ PODMÍNKY</w:t>
      </w:r>
    </w:p>
    <w:p w:rsidR="009C4942" w:rsidRDefault="00162EB3">
      <w:pPr>
        <w:pStyle w:val="Zkladntext20"/>
        <w:shd w:val="clear" w:color="auto" w:fill="auto"/>
        <w:jc w:val="both"/>
      </w:pPr>
      <w:r>
        <w:t>Kupující prohlašuje, že byl prodávajícím</w:t>
      </w:r>
      <w:r>
        <w:t xml:space="preserve"> seznámen se Všeobecnými podmínkami prodeje automobilů značky </w:t>
      </w:r>
      <w:r>
        <w:rPr>
          <w:lang w:val="en-US" w:eastAsia="en-US" w:bidi="en-US"/>
        </w:rPr>
        <w:t xml:space="preserve">TOYOTA, </w:t>
      </w:r>
      <w:r>
        <w:t>které tvoří nedílnou součást této smlouvy, a s těmito podmínkami výslovně souhlasí, což stvrzuje svým podpisem. Budou-li Všeobecné podmínky v</w:t>
      </w:r>
      <w:r>
        <w:br w:type="page"/>
      </w:r>
    </w:p>
    <w:p w:rsidR="009C4942" w:rsidRDefault="00162EB3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42545" distB="113030" distL="0" distR="0" simplePos="0" relativeHeight="125829382" behindDoc="0" locked="0" layoutInCell="1" allowOverlap="1">
                <wp:simplePos x="0" y="0"/>
                <wp:positionH relativeFrom="page">
                  <wp:posOffset>3223895</wp:posOffset>
                </wp:positionH>
                <wp:positionV relativeFrom="paragraph">
                  <wp:posOffset>42545</wp:posOffset>
                </wp:positionV>
                <wp:extent cx="597535" cy="14922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42" w:rsidRDefault="00162EB3">
                            <w:pPr>
                              <w:pStyle w:val="Jin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16"/>
                                <w:szCs w:val="16"/>
                              </w:rPr>
                              <w:t>Strana 2/2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253.84999999999999pt;margin-top:3.3500000000000001pt;width:47.049999999999997pt;height:11.75pt;z-index:-125829371;mso-wrap-distance-left:0;mso-wrap-distance-top:3.3500000000000001pt;mso-wrap-distance-right:0;mso-wrap-distance-bottom:8.9000000000000004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Strana 2/2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64135" distL="0" distR="0" simplePos="0" relativeHeight="125829384" behindDoc="0" locked="0" layoutInCell="1" allowOverlap="1">
                <wp:simplePos x="0" y="0"/>
                <wp:positionH relativeFrom="page">
                  <wp:posOffset>3912870</wp:posOffset>
                </wp:positionH>
                <wp:positionV relativeFrom="paragraph">
                  <wp:posOffset>0</wp:posOffset>
                </wp:positionV>
                <wp:extent cx="1179830" cy="24066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2406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42" w:rsidRDefault="00162EB3">
                            <w:pPr>
                              <w:pStyle w:val="Jin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ind w:firstLine="140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V,</w:t>
                            </w:r>
                          </w:p>
                          <w:p w:rsidR="009C4942" w:rsidRDefault="00162EB3">
                            <w:pPr>
                              <w:pStyle w:val="Jin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spacing w:line="180" w:lineRule="auto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iCs/>
                              </w:rPr>
                              <w:t>Cisto smlouvy: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08.10000000000002pt;margin-top:0;width:92.900000000000006pt;height:18.949999999999999pt;z-index:-125829369;mso-wrap-distance-left:0;mso-wrap-distance-right:0;mso-wrap-distance-bottom:5.0499999999999998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14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>V,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180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Cisto smlouvy: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0" distL="0" distR="0" simplePos="0" relativeHeight="125829386" behindDoc="0" locked="0" layoutInCell="1" allowOverlap="1">
                <wp:simplePos x="0" y="0"/>
                <wp:positionH relativeFrom="page">
                  <wp:posOffset>6229350</wp:posOffset>
                </wp:positionH>
                <wp:positionV relativeFrom="paragraph">
                  <wp:posOffset>21590</wp:posOffset>
                </wp:positionV>
                <wp:extent cx="1002665" cy="28321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42" w:rsidRDefault="00162EB3">
                            <w:pPr>
                              <w:pStyle w:val="Nadpis10"/>
                              <w:keepNext/>
                              <w:keepLines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jc w:val="both"/>
                            </w:pPr>
                            <w:bookmarkStart w:id="0" w:name="bookmark0"/>
                            <w:bookmarkStart w:id="1" w:name="bookmark1"/>
                            <w:r>
                              <w:t>OT001745</w:t>
                            </w:r>
                            <w:bookmarkEnd w:id="0"/>
                            <w:bookmarkEnd w:id="1"/>
                          </w:p>
                          <w:p w:rsidR="009C4942" w:rsidRDefault="00162EB3">
                            <w:pPr>
                              <w:pStyle w:val="Jin0"/>
                              <w:pBdr>
                                <w:top w:val="single" w:sz="0" w:space="0" w:color="C8C8C8"/>
                                <w:left w:val="single" w:sz="0" w:space="0" w:color="C8C8C8"/>
                                <w:bottom w:val="single" w:sz="0" w:space="0" w:color="C8C8C8"/>
                                <w:right w:val="single" w:sz="0" w:space="0" w:color="C8C8C8"/>
                              </w:pBdr>
                              <w:shd w:val="clear" w:color="auto" w:fill="C8C8C8"/>
                              <w:tabs>
                                <w:tab w:val="left" w:leader="dot" w:pos="480"/>
                                <w:tab w:val="left" w:leader="dot" w:pos="1474"/>
                              </w:tabs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  <w:t>•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  <w:t>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90.5pt;margin-top:1.7pt;width:78.950000000000003pt;height:22.300000000000001pt;z-index:-125829367;mso-wrap-distance-left:0;mso-wrap-distance-top:1.7pt;mso-wrap-distance-right:0;mso-position-horizontal-relative:page" filled="f" stroked="f">
                <v:textbox inset="0,0,0,0">
                  <w:txbxContent>
                    <w:p>
                      <w:pPr>
                        <w:pStyle w:val="Style30"/>
                        <w:keepNext/>
                        <w:keepLines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OT001745</w:t>
                      </w:r>
                      <w:bookmarkEnd w:id="0"/>
                      <w:bookmarkEnd w:id="1"/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C8C8C8"/>
                          <w:left w:val="single" w:sz="0" w:space="0" w:color="C8C8C8"/>
                          <w:bottom w:val="single" w:sz="0" w:space="0" w:color="C8C8C8"/>
                          <w:right w:val="single" w:sz="0" w:space="0" w:color="C8C8C8"/>
                        </w:pBdr>
                        <w:shd w:val="clear" w:color="auto" w:fill="C8C8C8"/>
                        <w:tabs>
                          <w:tab w:leader="dot" w:pos="480" w:val="left"/>
                          <w:tab w:leader="dot" w:pos="147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9"/>
                          <w:szCs w:val="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9"/>
                          <w:szCs w:val="9"/>
                          <w:shd w:val="clear" w:color="auto" w:fill="auto"/>
                          <w:lang w:val="cs-CZ" w:eastAsia="cs-CZ" w:bidi="cs-CZ"/>
                        </w:rPr>
                        <w:tab/>
                        <w:t>•</w:t>
                        <w:tab/>
                        <w:t>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C4942" w:rsidRDefault="00162EB3">
      <w:pPr>
        <w:pStyle w:val="Zkladntext20"/>
        <w:shd w:val="clear" w:color="auto" w:fill="auto"/>
        <w:spacing w:after="67" w:line="240" w:lineRule="auto"/>
      </w:pPr>
      <w:r>
        <w:t>rozporu s touto kupní smlouvou, mají ustanovení této kupní smlouvy přednost.</w:t>
      </w:r>
    </w:p>
    <w:p w:rsidR="009C4942" w:rsidRDefault="00162EB3">
      <w:pPr>
        <w:pStyle w:val="Zkladntext20"/>
        <w:numPr>
          <w:ilvl w:val="0"/>
          <w:numId w:val="1"/>
        </w:numPr>
        <w:pBdr>
          <w:top w:val="single" w:sz="0" w:space="3" w:color="C8C8C8"/>
          <w:left w:val="single" w:sz="0" w:space="0" w:color="C8C8C8"/>
          <w:bottom w:val="single" w:sz="0" w:space="0" w:color="C8C8C8"/>
          <w:right w:val="single" w:sz="0" w:space="0" w:color="C8C8C8"/>
        </w:pBdr>
        <w:shd w:val="clear" w:color="auto" w:fill="C8C8C8"/>
        <w:tabs>
          <w:tab w:val="left" w:pos="675"/>
        </w:tabs>
        <w:spacing w:after="115"/>
        <w:ind w:firstLine="140"/>
      </w:pPr>
      <w:r>
        <w:rPr>
          <w:b/>
          <w:bCs/>
        </w:rPr>
        <w:t>ÚČINNOST SMLOUVY</w:t>
      </w:r>
    </w:p>
    <w:p w:rsidR="009C4942" w:rsidRDefault="00162EB3">
      <w:pPr>
        <w:pStyle w:val="Zkladntext20"/>
        <w:shd w:val="clear" w:color="auto" w:fill="auto"/>
        <w:spacing w:after="82"/>
      </w:pPr>
      <w:r>
        <w:t xml:space="preserve">Pokud kupující neuhradí zálohu dle článku III. prodávajícímu nejpozději do 7 dnů od podpisu této smlouvy, je prodávající oprávněn od této smlouvy </w:t>
      </w:r>
      <w:r>
        <w:t>odstoupit.</w:t>
      </w:r>
    </w:p>
    <w:p w:rsidR="009C4942" w:rsidRDefault="00162EB3">
      <w:pPr>
        <w:pStyle w:val="Zkladntext20"/>
        <w:numPr>
          <w:ilvl w:val="0"/>
          <w:numId w:val="1"/>
        </w:numPr>
        <w:pBdr>
          <w:top w:val="single" w:sz="0" w:space="2" w:color="C7C7C7"/>
          <w:left w:val="single" w:sz="0" w:space="0" w:color="C7C7C7"/>
          <w:bottom w:val="single" w:sz="0" w:space="0" w:color="C7C7C7"/>
          <w:right w:val="single" w:sz="0" w:space="0" w:color="C7C7C7"/>
        </w:pBdr>
        <w:shd w:val="clear" w:color="auto" w:fill="C7C7C7"/>
        <w:tabs>
          <w:tab w:val="left" w:pos="767"/>
        </w:tabs>
        <w:spacing w:after="115"/>
        <w:ind w:firstLine="140"/>
      </w:pPr>
      <w:r>
        <w:rPr>
          <w:b/>
          <w:bCs/>
        </w:rPr>
        <w:t>OCHRANA ZÁKAZNICKÝCH DAT</w:t>
      </w:r>
    </w:p>
    <w:p w:rsidR="009C4942" w:rsidRDefault="00162EB3">
      <w:pPr>
        <w:pStyle w:val="Zkladntext20"/>
        <w:shd w:val="clear" w:color="auto" w:fill="auto"/>
        <w:spacing w:after="82"/>
      </w:pPr>
      <w:r>
        <w:t xml:space="preserve">Kupující podpisem této smlouvy potvrzuje, že se seznámil s Informačním oznámením o zpracování osobních údajů, které je uveřejněno na </w:t>
      </w:r>
      <w:hyperlink r:id="rId13" w:history="1">
        <w:r>
          <w:rPr>
            <w:lang w:val="en-US" w:eastAsia="en-US" w:bidi="en-US"/>
          </w:rPr>
          <w:t>www.toyota.cz</w:t>
        </w:r>
      </w:hyperlink>
      <w:r>
        <w:rPr>
          <w:lang w:val="en-US" w:eastAsia="en-US" w:bidi="en-US"/>
        </w:rPr>
        <w:t>.</w:t>
      </w:r>
    </w:p>
    <w:p w:rsidR="009C4942" w:rsidRDefault="00162EB3">
      <w:pPr>
        <w:pStyle w:val="Zkladntext20"/>
        <w:numPr>
          <w:ilvl w:val="0"/>
          <w:numId w:val="1"/>
        </w:numPr>
        <w:pBdr>
          <w:top w:val="single" w:sz="0" w:space="2" w:color="C6C6C6"/>
          <w:left w:val="single" w:sz="0" w:space="0" w:color="C6C6C6"/>
          <w:bottom w:val="single" w:sz="0" w:space="1" w:color="C6C6C6"/>
          <w:right w:val="single" w:sz="0" w:space="0" w:color="C6C6C6"/>
        </w:pBdr>
        <w:shd w:val="clear" w:color="auto" w:fill="C6C6C6"/>
        <w:tabs>
          <w:tab w:val="left" w:pos="584"/>
        </w:tabs>
        <w:spacing w:after="110"/>
        <w:ind w:firstLine="140"/>
      </w:pPr>
      <w:r>
        <w:rPr>
          <w:b/>
          <w:bCs/>
        </w:rPr>
        <w:t>OSTATNÍ UJEDNÁNÍ</w:t>
      </w:r>
    </w:p>
    <w:p w:rsidR="009C4942" w:rsidRDefault="00162EB3">
      <w:pPr>
        <w:pStyle w:val="Zkladntext20"/>
        <w:shd w:val="clear" w:color="auto" w:fill="auto"/>
        <w:spacing w:after="0"/>
      </w:pPr>
      <w:r>
        <w:t xml:space="preserve">V případě, že bude </w:t>
      </w:r>
      <w:r>
        <w:t>kupující v prodlení s úhradou zbývající části kupní ceny déle než 30 dní, je kupující povinen prodávajícímu zaplatit smluvní pokutu ve výši stanovené zálohy; tím není dotčeno právo prodávajícího na úplnou náhradu škody vedle a nad rámec smluvní pokuty.</w:t>
      </w:r>
    </w:p>
    <w:p w:rsidR="009C4942" w:rsidRDefault="00162EB3">
      <w:pPr>
        <w:pStyle w:val="Zkladntext20"/>
        <w:shd w:val="clear" w:color="auto" w:fill="auto"/>
        <w:spacing w:after="0"/>
      </w:pPr>
      <w:r>
        <w:t>Pok</w:t>
      </w:r>
      <w:r>
        <w:t>ud prodávající od této smlouvy odstoupí, je oprávněn svoji pohledávku spočívající v nároku na smluvní pokutu započíst vůči nároku kupujícího na vrácení zálohy.</w:t>
      </w:r>
    </w:p>
    <w:p w:rsidR="009C4942" w:rsidRDefault="00162EB3">
      <w:pPr>
        <w:pStyle w:val="Zkladntext20"/>
        <w:pBdr>
          <w:bottom w:val="single" w:sz="4" w:space="0" w:color="auto"/>
        </w:pBdr>
        <w:shd w:val="clear" w:color="auto" w:fill="auto"/>
        <w:spacing w:after="0"/>
        <w:sectPr w:rsidR="009C4942">
          <w:type w:val="continuous"/>
          <w:pgSz w:w="11900" w:h="16840"/>
          <w:pgMar w:top="2366" w:right="478" w:bottom="693" w:left="536" w:header="0" w:footer="3" w:gutter="0"/>
          <w:cols w:space="720"/>
          <w:noEndnote/>
          <w:docGrid w:linePitch="360"/>
        </w:sectPr>
      </w:pPr>
      <w:r>
        <w:t>Odstoupením od této smlouvy není dotčeno právo prodávajícího na zaplacen</w:t>
      </w:r>
      <w:r>
        <w:t>í smluvní pokuty, ani právo prodávajícího svoji pohledávku spočívající v nároku na smluvní pokutu započíst vůči pohledávce kupujícího na vrácení zálohy.</w:t>
      </w:r>
    </w:p>
    <w:p w:rsidR="009C4942" w:rsidRDefault="009C4942">
      <w:pPr>
        <w:spacing w:before="49" w:after="49" w:line="240" w:lineRule="exact"/>
        <w:rPr>
          <w:sz w:val="19"/>
          <w:szCs w:val="19"/>
        </w:rPr>
      </w:pPr>
    </w:p>
    <w:p w:rsidR="009C4942" w:rsidRDefault="009C4942">
      <w:pPr>
        <w:spacing w:line="1" w:lineRule="exact"/>
        <w:sectPr w:rsidR="009C4942">
          <w:type w:val="continuous"/>
          <w:pgSz w:w="11900" w:h="16840"/>
          <w:pgMar w:top="1946" w:right="0" w:bottom="573" w:left="0" w:header="0" w:footer="3" w:gutter="0"/>
          <w:cols w:space="720"/>
          <w:noEndnote/>
          <w:docGrid w:linePitch="360"/>
        </w:sectPr>
      </w:pPr>
    </w:p>
    <w:p w:rsidR="009C4942" w:rsidRDefault="00162EB3">
      <w:pPr>
        <w:pStyle w:val="Zkladntext30"/>
        <w:framePr w:w="2242" w:h="302" w:wrap="none" w:vAnchor="text" w:hAnchor="page" w:x="590" w:y="21"/>
        <w:shd w:val="clear" w:color="auto" w:fill="auto"/>
        <w:spacing w:line="240" w:lineRule="auto"/>
      </w:pPr>
      <w:r>
        <w:rPr>
          <w:b w:val="0"/>
          <w:bCs w:val="0"/>
        </w:rPr>
        <w:t>Trutnov, dne 12.07,2021</w:t>
      </w:r>
    </w:p>
    <w:p w:rsidR="009C4942" w:rsidRDefault="009C4942">
      <w:pPr>
        <w:pStyle w:val="Titulekobrzku0"/>
        <w:framePr w:w="1027" w:h="288" w:wrap="none" w:vAnchor="text" w:hAnchor="page" w:x="2557" w:y="1580"/>
        <w:shd w:val="clear" w:color="auto" w:fill="auto"/>
        <w:rPr>
          <w:sz w:val="20"/>
          <w:szCs w:val="20"/>
        </w:rPr>
      </w:pPr>
    </w:p>
    <w:p w:rsidR="009C4942" w:rsidRDefault="009C4942">
      <w:pPr>
        <w:pStyle w:val="Jin0"/>
        <w:framePr w:w="1003" w:h="898" w:wrap="none" w:vAnchor="text" w:hAnchor="page" w:x="1862" w:y="375"/>
        <w:shd w:val="clear" w:color="auto" w:fill="auto"/>
        <w:spacing w:line="259" w:lineRule="auto"/>
        <w:rPr>
          <w:sz w:val="12"/>
          <w:szCs w:val="12"/>
        </w:rPr>
      </w:pPr>
    </w:p>
    <w:p w:rsidR="009C4942" w:rsidRDefault="009C4942">
      <w:pPr>
        <w:pStyle w:val="Zkladntext20"/>
        <w:framePr w:w="1080" w:h="245" w:wrap="none" w:vAnchor="text" w:hAnchor="page" w:x="4444" w:y="1331"/>
        <w:shd w:val="clear" w:color="auto" w:fill="auto"/>
        <w:spacing w:after="0" w:line="240" w:lineRule="auto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line="360" w:lineRule="exact"/>
      </w:pPr>
    </w:p>
    <w:p w:rsidR="009C4942" w:rsidRDefault="009C4942">
      <w:pPr>
        <w:spacing w:after="426" w:line="1" w:lineRule="exact"/>
      </w:pPr>
    </w:p>
    <w:p w:rsidR="009C4942" w:rsidRDefault="009C4942">
      <w:pPr>
        <w:spacing w:line="1" w:lineRule="exact"/>
        <w:sectPr w:rsidR="009C4942">
          <w:type w:val="continuous"/>
          <w:pgSz w:w="11900" w:h="16840"/>
          <w:pgMar w:top="1946" w:right="536" w:bottom="573" w:left="560" w:header="0" w:footer="3" w:gutter="0"/>
          <w:cols w:space="720"/>
          <w:noEndnote/>
          <w:docGrid w:linePitch="360"/>
        </w:sectPr>
      </w:pPr>
    </w:p>
    <w:p w:rsidR="009C4942" w:rsidRDefault="00162EB3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spacing w:before="240" w:after="580"/>
        <w:jc w:val="center"/>
      </w:pPr>
      <w:r>
        <w:rPr>
          <w:b/>
          <w:bCs/>
        </w:rPr>
        <w:lastRenderedPageBreak/>
        <w:t xml:space="preserve">VŠEOBECNÉ PODMÍNKY PRODEJE AUTOMOBILU ZNAČKY </w:t>
      </w:r>
      <w:r>
        <w:rPr>
          <w:b/>
          <w:bCs/>
          <w:lang w:val="en-US" w:eastAsia="en-US" w:bidi="en-US"/>
        </w:rPr>
        <w:t>TOYOTA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Č1.I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Všeobecná ustanovení</w:t>
      </w:r>
      <w:bookmarkEnd w:id="2"/>
      <w:bookmarkEnd w:id="3"/>
    </w:p>
    <w:p w:rsidR="009C4942" w:rsidRDefault="00162EB3">
      <w:pPr>
        <w:pStyle w:val="Zkladntext1"/>
        <w:shd w:val="clear" w:color="auto" w:fill="auto"/>
        <w:jc w:val="both"/>
      </w:pPr>
      <w:r>
        <w:t xml:space="preserve">Tyto podmínky platí pro všechny kupní smlouvy uzavřené mezi autorizovaným prodejcem (dále jen „prodávající“) a zákazníkem (dále jen „kupující“), při prodeji osobních a užitkových automobilů značky </w:t>
      </w:r>
      <w:r>
        <w:rPr>
          <w:lang w:val="en-US" w:eastAsia="en-US" w:bidi="en-US"/>
        </w:rPr>
        <w:t xml:space="preserve">TOYOTA </w:t>
      </w:r>
      <w:r>
        <w:t>a tvoří jejich nedílnou součást.</w:t>
      </w:r>
    </w:p>
    <w:p w:rsidR="009C4942" w:rsidRDefault="00162EB3">
      <w:pPr>
        <w:pStyle w:val="Zkladntext1"/>
        <w:shd w:val="clear" w:color="auto" w:fill="auto"/>
        <w:spacing w:after="260"/>
        <w:jc w:val="both"/>
      </w:pPr>
      <w:r>
        <w:t xml:space="preserve">Budou-li Všeobecné </w:t>
      </w:r>
      <w:r>
        <w:t>podmínky v rozporu s kupní smlouvou, platí ustanovení kupní smlouvy.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II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4" w:name="bookmark4"/>
      <w:bookmarkStart w:id="5" w:name="bookmark5"/>
      <w:r>
        <w:t>Vznik a účinnost smlouvy</w:t>
      </w:r>
      <w:bookmarkEnd w:id="4"/>
      <w:bookmarkEnd w:id="5"/>
    </w:p>
    <w:p w:rsidR="009C4942" w:rsidRDefault="00162EB3">
      <w:pPr>
        <w:pStyle w:val="Zkladntext1"/>
        <w:shd w:val="clear" w:color="auto" w:fill="auto"/>
        <w:spacing w:after="260"/>
        <w:jc w:val="both"/>
      </w:pPr>
      <w:r>
        <w:t>Kupní smlouva nabývá platnosti a účinnosti dnem podpisu oběma smluvními stranami.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III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6" w:name="bookmark6"/>
      <w:bookmarkStart w:id="7" w:name="bookmark7"/>
      <w:r>
        <w:t>Kupní cena</w:t>
      </w:r>
      <w:bookmarkEnd w:id="6"/>
      <w:bookmarkEnd w:id="7"/>
    </w:p>
    <w:p w:rsidR="009C4942" w:rsidRDefault="00162EB3">
      <w:pPr>
        <w:pStyle w:val="Zkladntext1"/>
        <w:shd w:val="clear" w:color="auto" w:fill="auto"/>
        <w:spacing w:after="260"/>
        <w:jc w:val="both"/>
      </w:pPr>
      <w:r>
        <w:t>Kupní cenou se rozumí kupní cena automobilu a jeho pří</w:t>
      </w:r>
      <w:r>
        <w:t>slušenství platná v den podpisu kupní smlouvy dle ceníku prodávajícího pro příslušné období, není-li písemně sjednáno jinak.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IV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8" w:name="bookmark8"/>
      <w:bookmarkStart w:id="9" w:name="bookmark9"/>
      <w:r>
        <w:t>Platební podmínky</w:t>
      </w:r>
      <w:bookmarkEnd w:id="8"/>
      <w:bookmarkEnd w:id="9"/>
    </w:p>
    <w:p w:rsidR="009C4942" w:rsidRDefault="00162EB3">
      <w:pPr>
        <w:pStyle w:val="Zkladntext1"/>
        <w:numPr>
          <w:ilvl w:val="0"/>
          <w:numId w:val="2"/>
        </w:numPr>
        <w:shd w:val="clear" w:color="auto" w:fill="auto"/>
        <w:tabs>
          <w:tab w:val="left" w:pos="378"/>
        </w:tabs>
        <w:jc w:val="both"/>
      </w:pPr>
      <w:r>
        <w:t>Není-li písemně sjednáno jinak, kupující uhradí nejpozději do 7 dnů od podpisu kupní smlouvy zálohu ve výš</w:t>
      </w:r>
      <w:r>
        <w:t>i dohodnuté v kupní smlouvě s ohledem na typ/model automobilu a jeho příslušenství, a to převodem na účet prodávajícího, příp. v hotovosti.</w:t>
      </w:r>
    </w:p>
    <w:p w:rsidR="009C4942" w:rsidRDefault="00162EB3">
      <w:pPr>
        <w:pStyle w:val="Zkladntext1"/>
        <w:numPr>
          <w:ilvl w:val="0"/>
          <w:numId w:val="2"/>
        </w:numPr>
        <w:shd w:val="clear" w:color="auto" w:fill="auto"/>
        <w:tabs>
          <w:tab w:val="left" w:pos="358"/>
        </w:tabs>
        <w:spacing w:after="260"/>
        <w:jc w:val="both"/>
      </w:pPr>
      <w:r>
        <w:t xml:space="preserve">Kupující uhradí zbývající část kupní ceny </w:t>
      </w:r>
      <w:proofErr w:type="spellStart"/>
      <w:r>
        <w:t>nej</w:t>
      </w:r>
      <w:proofErr w:type="spellEnd"/>
      <w:r>
        <w:t xml:space="preserve"> později v den, který bude prodávajícím určen a kupujícímu oznámen jako</w:t>
      </w:r>
      <w:r>
        <w:t xml:space="preserve"> den pro odevzdání automobilu kupujícímu, a to převodem na účet prodávajícího; v okamžiku odevzdání automobilu kupujícímu musí být příslušná částka již na účet připsána.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V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10" w:name="bookmark10"/>
      <w:bookmarkStart w:id="11" w:name="bookmark11"/>
      <w:r>
        <w:t>Výhrada vlastnictví</w:t>
      </w:r>
      <w:bookmarkEnd w:id="10"/>
      <w:bookmarkEnd w:id="11"/>
    </w:p>
    <w:p w:rsidR="009C4942" w:rsidRDefault="00162EB3">
      <w:pPr>
        <w:pStyle w:val="Zkladntext1"/>
        <w:shd w:val="clear" w:color="auto" w:fill="auto"/>
        <w:spacing w:after="260"/>
        <w:jc w:val="both"/>
      </w:pPr>
      <w:r>
        <w:t>Automobil zůstává ve vlastnictví prodávajícího až do úplného</w:t>
      </w:r>
      <w:r>
        <w:t xml:space="preserve"> zaplacení kupní ceny.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VI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12" w:name="bookmark12"/>
      <w:bookmarkStart w:id="13" w:name="bookmark13"/>
      <w:r>
        <w:t>Dodací podmínky</w:t>
      </w:r>
      <w:bookmarkEnd w:id="12"/>
      <w:bookmarkEnd w:id="13"/>
    </w:p>
    <w:p w:rsidR="009C4942" w:rsidRDefault="00162EB3">
      <w:pPr>
        <w:pStyle w:val="Zkladntext1"/>
        <w:numPr>
          <w:ilvl w:val="0"/>
          <w:numId w:val="3"/>
        </w:numPr>
        <w:shd w:val="clear" w:color="auto" w:fill="auto"/>
        <w:tabs>
          <w:tab w:val="left" w:pos="354"/>
        </w:tabs>
        <w:jc w:val="both"/>
      </w:pPr>
      <w:r>
        <w:t>Povinnost odevzdat automobil kupujícímu je prodávajícím splněna dnem, kdy je automobil připraven k převzetí v provozovně prodávajícího. Předpokládaný termín dodání je pouze orientační a o přesném termínu dodání</w:t>
      </w:r>
      <w:r>
        <w:t xml:space="preserve"> bude prodávající vhodným způsobem kupujícího informovat. V případě, že prodávající překročí předpokládaný termín dodání o více než 8 týdnů, je kupující oprávněn od kupní smlouvy odstoupit. V případě prodlení kupujícího se splněním jakéhokoli závazku vyplý</w:t>
      </w:r>
      <w:r>
        <w:t>vajícího z kupní smlouvy se předpokládaný termín dodání posunuje, a to o dobu trvání takového prodlení.</w:t>
      </w:r>
    </w:p>
    <w:p w:rsidR="009C4942" w:rsidRDefault="00162EB3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jc w:val="both"/>
      </w:pPr>
      <w:r>
        <w:t>Kupující je povinen automobil převzít nejpozději do 10 dnů ode dne, který prodávající kupujícímu oznámí jako den pro odevzdání automobilu kupujícímu.</w:t>
      </w:r>
    </w:p>
    <w:p w:rsidR="009C4942" w:rsidRDefault="00162EB3">
      <w:pPr>
        <w:pStyle w:val="Zkladntext1"/>
        <w:numPr>
          <w:ilvl w:val="0"/>
          <w:numId w:val="3"/>
        </w:numPr>
        <w:shd w:val="clear" w:color="auto" w:fill="auto"/>
        <w:tabs>
          <w:tab w:val="left" w:pos="358"/>
        </w:tabs>
        <w:spacing w:after="160"/>
        <w:jc w:val="both"/>
        <w:sectPr w:rsidR="009C4942">
          <w:headerReference w:type="default" r:id="rId14"/>
          <w:footerReference w:type="default" r:id="rId15"/>
          <w:pgSz w:w="11900" w:h="16840"/>
          <w:pgMar w:top="1377" w:right="1241" w:bottom="1357" w:left="1420" w:header="949" w:footer="3" w:gutter="0"/>
          <w:cols w:space="720"/>
          <w:noEndnote/>
          <w:docGrid w:linePitch="360"/>
        </w:sectPr>
      </w:pPr>
      <w:r>
        <w:t>Automobil bude odevzdán na základě předávacího protokolu, podepsaného oběma smluvními stranami.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lastRenderedPageBreak/>
        <w:t>ČI. VII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14" w:name="bookmark14"/>
      <w:bookmarkStart w:id="15" w:name="bookmark15"/>
      <w:r>
        <w:t>Práva z vadného plnění a záruka za jakost</w:t>
      </w:r>
      <w:bookmarkEnd w:id="14"/>
      <w:bookmarkEnd w:id="15"/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jc w:val="both"/>
      </w:pPr>
      <w:r>
        <w:t>Kupující je povinen při převzetí prohlédnout automobil a případné zjevné vady či chybějící vybavení nebo příslušenství zaznamenat do předávacího protokolu. Později uplatněné právo nebude uznáno.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jc w:val="both"/>
      </w:pPr>
      <w:r>
        <w:t>Záruka za jakost a její podmínky jsou stanoveny v těchto Všeo</w:t>
      </w:r>
      <w:r>
        <w:t>becných podmínkách a servisní a záruční knížce k automobilu (dále jen servisní knížka). Podmínky stanovené v servisní knížce jsou pro kupujícího závazné a jsou součástí kupní smlouvy. Kupující má v rámci záruky za jakost právo pouze na odstranění vady opra</w:t>
      </w:r>
      <w:r>
        <w:t>vou a nemůže zejména odstoupit od kupní smlouvy, požadovat výměnu automobilu, slevu z kupní ceny, nebo náklady spojené s uplatněním práva ze záruky nebo vzniklé v souvislosti s vadou automobilu. Vytkl-li kupující prodávajícímu vadu automobilu oprávněně, zá</w:t>
      </w:r>
      <w:r>
        <w:t>ruční doba i lhůta pro uplatnění práva z vadného plnění běží (nestaví se) i po dobu, po kterou kupující nemůže vadný automobil užívat.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303"/>
        </w:tabs>
        <w:jc w:val="both"/>
      </w:pPr>
      <w:r>
        <w:t xml:space="preserve">Kupující se vzdává zákonných práv z vadného plnění týkajících se automobilu a práva na náhradu škody a jiné újmy vzniklé </w:t>
      </w:r>
      <w:r>
        <w:t>v souvislosti s vadou automobilu jakož i práva na náklady spojené s uplatněním práva z vadného plnění a na náklady vzniklé v souvislosti s vadou automobilu. K ustanovení tohoto odst. 3 se nepřihlíží v případě, že se na kupní smlouvu použijí zvláštní ustano</w:t>
      </w:r>
      <w:r>
        <w:t>vení o prodeji zboží v obchodě dle ustanovení § 2158 a násl. občanského zákoníku.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318"/>
        </w:tabs>
        <w:jc w:val="both"/>
      </w:pPr>
      <w:r>
        <w:t>Tento odstavec 4. se použije pouze v případě, je-li kupujícím spotřebitel. Aniž by byla dotčena jiná ustanovení zákona týkající se zákonných práv z vadného plnění, dalších zá</w:t>
      </w:r>
      <w:r>
        <w:t>konných práv kupujícího, která se ke koupi automobilu vážou, a poskytnutá záruka za jakost automobilu, prodávající v rámci své zákonné odpovědnosti za vady odpovídá kupujícímu, že automobil při převzetí nemá vady.</w:t>
      </w:r>
    </w:p>
    <w:p w:rsidR="009C4942" w:rsidRDefault="00162EB3">
      <w:pPr>
        <w:pStyle w:val="Zkladntext1"/>
        <w:shd w:val="clear" w:color="auto" w:fill="auto"/>
        <w:jc w:val="both"/>
      </w:pPr>
      <w:r>
        <w:t>Kupující je oprávněn uplatnit právo z vady</w:t>
      </w:r>
      <w:r>
        <w:t>, která se vyskytne u automobilu, v době dvaceti čtyř měsíců od převzetí. Nemá-li automobil vlastnosti stanovené v § 2161 občanského zákoníku, může kupující požadovat i dodání nového automobilu bez vad, pokud to není vzhledem k povaze vady nepřiměřené, ale</w:t>
      </w:r>
      <w:r>
        <w:t xml:space="preserve"> pokud se vada týká pouze součásti automobilu, může kupující požadovat jen výměnu součásti; není-li to možné, může odstoupit od smlouvy. Je-li to však vzhledem k povaze vady neúměrné, zejména lze-li vadu odstranit bez zbytečného odkladu, má kupující právo </w:t>
      </w:r>
      <w:r>
        <w:t>na bezplatné odstranění vady. Právo na dodání nového automobilu, nebo výměnu součásti má kupující i v případě odstranitelné vady, pokud nemůže automobil řádně užívat pro opakovaný výskyt vady po opravě nebo pro větší počet vad. V takovém případě má kupujíc</w:t>
      </w:r>
      <w:r>
        <w:t>í i právo od smlouvy odstoupit. Neodstoupí-li kupující od smlouvy nebo neuplatní-li právo na dodání nového automobilu bez vad, na výměnu jeho součásti nebo na opravu automobilu, může požadovat přiměřenou slevu. Kupující má právo na přiměřenou slevu i v pří</w:t>
      </w:r>
      <w:r>
        <w:t>padě, že mu prodávající nemůže dodat nový automobil bez vad, vyměnit jeho součást nebo automobil opravit, jakož i v případě, že prodávající nezjedná nápravu v přiměřené době nebo že by zjednání nápravy kupujícímu působilo značné obtíže. Právo z vadného pln</w:t>
      </w:r>
      <w:r>
        <w:t>ění kupujícímu nenáleží, pokud kupující před převzetím automobilu věděl, že automobil má vadu, anebo pokud kupující vadu sám způsobil. Má-li automobil vadu, z níž je prodávající zavázán, a jedná-li se o automobil prodávaný za nižší cenu nebo o použitý auto</w:t>
      </w:r>
      <w:r>
        <w:t xml:space="preserve">mobil, má kupující místo práva na výměnu automobilu právo na přiměřenou slevu. Práva z vady se uplatňují u prodávajícího, nebo v případě opravy, u kterékoli autorizované opravny vozidel </w:t>
      </w:r>
      <w:r>
        <w:rPr>
          <w:lang w:val="en-US" w:eastAsia="en-US" w:bidi="en-US"/>
        </w:rPr>
        <w:t xml:space="preserve">Toyota, </w:t>
      </w:r>
      <w:r>
        <w:t>která je prodávajícím určena k provedení opravy a která je v m</w:t>
      </w:r>
      <w:r>
        <w:t>ístě prodávajícího nebo v místě pro kupujícího bližším.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303"/>
        </w:tabs>
        <w:jc w:val="both"/>
      </w:pPr>
      <w:r>
        <w:t>Je-li kupujícím spotřebitel, prodávající mu potvrdí písemně, kdy právo z vadného plnění uplatnil, co je obsahem reklamace, jaký způsob vyřízení reklamace spotřebitel požaduje, dále mu vydá potvrzení o</w:t>
      </w:r>
      <w:r>
        <w:t xml:space="preserve"> datu a způsobu vyřízení reklamace včetně potvrzení o provedení opravy a době jejího trvání, případně písemné odůvodnění zamítnutí reklamace. Prodávající rozhodne o reklamaci spotřebitele ihned, ve složitých případech do tří pracovních dní. Do této lhůty s</w:t>
      </w:r>
      <w:r>
        <w:t xml:space="preserve">e nezapočítává doba přiměřená potřebná k odbornému posouzení vady. Reklamace spotřebitele </w:t>
      </w:r>
      <w:r>
        <w:lastRenderedPageBreak/>
        <w:t xml:space="preserve">bude vyřízena bez zbytečného odkladu, nejpozději do </w:t>
      </w:r>
      <w:proofErr w:type="gramStart"/>
      <w:r>
        <w:t>30-ti</w:t>
      </w:r>
      <w:proofErr w:type="gramEnd"/>
      <w:r>
        <w:t xml:space="preserve"> dnů ode dne uplatnění reklamace, pokud nebude jiné dohody stran.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jc w:val="both"/>
      </w:pPr>
      <w:r>
        <w:t xml:space="preserve">V případě, že kupující není spotřebitelem, </w:t>
      </w:r>
      <w:r>
        <w:t>prodávající reklamaci vyřídí dle svých možností a charakteru vady co nejdříve. V případě zamítnutí reklamace je kupující povinen zaplatit prodávajícímu veškeré náklady vzniklé v souvislosti s posouzením vady automobilu či montáže. Toto neplatí, jestliže ku</w:t>
      </w:r>
      <w:r>
        <w:t>pujícím je spotřebitel.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jc w:val="both"/>
      </w:pPr>
      <w:r>
        <w:t>Kupující je povinen automobil důkladně zkontrolovat a prohlédnout při jeho převzetí a neprodleně oznámit prodávajícímu při převzetí automobilu zjištěné vady nebo poškození. Ostatní vady musí kupující oznámit prodávajícímu bezodkladn</w:t>
      </w:r>
      <w:r>
        <w:t>ě po jejich zjištění (poté, co je kupující mohl při dostatečné péči zjistit). V případě nesplnění kterékoliv povinnosti kupujícího dle tohoto odstavce, nebude právo z vadného plnění kupujícímu přiznáno.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303"/>
        </w:tabs>
        <w:jc w:val="both"/>
      </w:pPr>
      <w:r>
        <w:t xml:space="preserve">Výrobci vozidel </w:t>
      </w:r>
      <w:r>
        <w:rPr>
          <w:lang w:val="en-US" w:eastAsia="en-US" w:bidi="en-US"/>
        </w:rPr>
        <w:t xml:space="preserve">Toyota </w:t>
      </w:r>
      <w:r>
        <w:t>(dále jen výrobce) a dovozci v</w:t>
      </w:r>
      <w:r>
        <w:t xml:space="preserve">ozidel </w:t>
      </w:r>
      <w:r>
        <w:rPr>
          <w:lang w:val="en-US" w:eastAsia="en-US" w:bidi="en-US"/>
        </w:rPr>
        <w:t xml:space="preserve">Toyota </w:t>
      </w:r>
      <w:r>
        <w:t>(dle jen dovozce) je vyhrazeno právo provádět u vozu bez předchozího upozornění změny v technických parametrech, konstrukci, vybavení, použitých materiálech, vnějším provedení, barevném odstínu, nebo jiné úpravy v rozsahu povoleném příslušným</w:t>
      </w:r>
      <w:r>
        <w:t>i ustanoveními obecně závazných právních předpisů, vyjma podstatných změn vlastností a výbavy, výslovně uvedených v kupní smlouvě. Kupní smlouva je prodávajícím splněna řádně, pokud dodaný vůz odpovídá schválenému typu vozidla dle příslušného osvědčení o t</w:t>
      </w:r>
      <w:r>
        <w:t>echnické způsobilosti typu vozidla platného v den odevzdání.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298"/>
        </w:tabs>
        <w:jc w:val="both"/>
      </w:pPr>
      <w:r>
        <w:t>Použití značek, číselných nebo slovních označení apod. dovozcem, výrobcem nebo prodávajícím k označení automobilu neurčuje jakost a provedení, a z jejich použití nevznikají kupujícímu žádná opráv</w:t>
      </w:r>
      <w:r>
        <w:t>nění.</w:t>
      </w:r>
    </w:p>
    <w:p w:rsidR="009C4942" w:rsidRDefault="00162EB3">
      <w:pPr>
        <w:pStyle w:val="Zkladntext1"/>
        <w:numPr>
          <w:ilvl w:val="0"/>
          <w:numId w:val="4"/>
        </w:numPr>
        <w:shd w:val="clear" w:color="auto" w:fill="auto"/>
        <w:tabs>
          <w:tab w:val="left" w:pos="438"/>
        </w:tabs>
        <w:spacing w:after="260"/>
        <w:jc w:val="both"/>
      </w:pPr>
      <w:r>
        <w:t>Veškeré údaje o vzhledu, vybavení, výkonu, rozměrech, hmotnosti, konstrukci, použitých materiálech a ostatní údaje, udávané nebo publikované k reklamním a propagačním účelům dovozcem, výrobcem nebo prodávajícím, mají vždy jen přibližnou a ilustrativn</w:t>
      </w:r>
      <w:r>
        <w:t>í povahu a nejsou závaznými údaji o vlastnostech a jakosti automobilu, vyjma technických dat a údajů, uvedených v základním technickém popisu (technický průkaz) automobilu. Údaje o emisích CO2 a o spotřebě pohonných hmot odpovídají závěrům měření dle přísl</w:t>
      </w:r>
      <w:r>
        <w:t>ušných směrnic a nařízení EU nebo předpisů EHK (tzv. Evropský jízdní cyklus) ke stanovení spotřeby pohonných hmot a provozní spotřeba se může lišit v závislosti na různých okolnostech, jako jsou např. klimatické podmínky, rychlostní profil, osobnost řidiče</w:t>
      </w:r>
      <w:r>
        <w:t>, odpor vzduchu, dynamika jízdy, naložení vozu, použité pneumatiky, zapnuté spotřebiče apod.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VIII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16" w:name="bookmark16"/>
      <w:bookmarkStart w:id="17" w:name="bookmark17"/>
      <w:r>
        <w:t>Práva při porušení smlouvy</w:t>
      </w:r>
      <w:bookmarkEnd w:id="16"/>
      <w:bookmarkEnd w:id="17"/>
    </w:p>
    <w:p w:rsidR="009C4942" w:rsidRDefault="00162EB3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jc w:val="both"/>
      </w:pPr>
      <w:r>
        <w:t xml:space="preserve">Je-li kupující v prodlení s převzetím automobilu a není-li jeho prodlení způsobeno okolnostmi na straně prodávajícího, je </w:t>
      </w:r>
      <w:r>
        <w:t>prodávající oprávněn účtovat skladné ve výši [•] Kč za každý den prodlení, počínaje stanoveným dnem převzetí automobilu.</w:t>
      </w:r>
    </w:p>
    <w:p w:rsidR="009C4942" w:rsidRDefault="00162EB3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jc w:val="both"/>
      </w:pPr>
      <w:r>
        <w:t xml:space="preserve">V případě prodlení kupujícího se zaplacením ceny (nebo části) příp. se splněním jiné povinnosti z kupní smlouvy, je prodávající </w:t>
      </w:r>
      <w:r>
        <w:t>oprávněn odepřít předání automobilu kupujícímu, a to po celou dobu prodlení kupujícího, aniž by se dostal do prodlení s předáním.</w:t>
      </w:r>
    </w:p>
    <w:p w:rsidR="009C4942" w:rsidRDefault="00162EB3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spacing w:after="60"/>
        <w:jc w:val="both"/>
      </w:pPr>
      <w:r>
        <w:t>Je-li kupující v prodlení s plněním jakýchkoli povinností vyplývajících z kupní smlouvy po dobu delší než 30 dnů, je prodávají</w:t>
      </w:r>
      <w:r>
        <w:t>cí oprávněn od smlouvy odstoupit. V případě, že kupující splnění některé povinnosti výslovně odepře, nebo je-li s přihlédnutím ke konkrétním okolnostem patrné, že kupující povinnost nemůže splnit, nebo nezaplatí včas dohodnutou zálohu na kupní cenu automob</w:t>
      </w:r>
      <w:r>
        <w:t>ilu, nepoužije se předchozí věta a prodávající je oprávněn odstoupit od smlouvy okamžitě.</w:t>
      </w:r>
    </w:p>
    <w:p w:rsidR="009C4942" w:rsidRDefault="00162EB3">
      <w:pPr>
        <w:pStyle w:val="Zkladntext1"/>
        <w:numPr>
          <w:ilvl w:val="0"/>
          <w:numId w:val="5"/>
        </w:numPr>
        <w:shd w:val="clear" w:color="auto" w:fill="auto"/>
        <w:tabs>
          <w:tab w:val="left" w:pos="298"/>
        </w:tabs>
        <w:jc w:val="both"/>
      </w:pPr>
      <w:r>
        <w:t>Je-li kupující v prodlení s plněním jakýchkoli povinností vyplývajících z kupní smlouvy po dobu delší než 30 dnů, může prodávající vedle úplné náhrady škody, požadova</w:t>
      </w:r>
      <w:r>
        <w:t xml:space="preserve">t po kupujícím smluvní pokutu ve výši zálohy na kupní cenu automobilu uvedené v kupní smlouvě. Prodávající může smluvní pokutu započíst proti nároku kupujícího na vrácení zálohy na kupní cenu </w:t>
      </w:r>
      <w:r>
        <w:lastRenderedPageBreak/>
        <w:t>automobilu. Toto ustanovení zůstává v platnosti a účinnosti i po</w:t>
      </w:r>
      <w:r>
        <w:t xml:space="preserve"> ukončení kupní smlouvy.</w:t>
      </w:r>
    </w:p>
    <w:p w:rsidR="009C4942" w:rsidRDefault="00162EB3">
      <w:pPr>
        <w:pStyle w:val="Zkladntext1"/>
        <w:numPr>
          <w:ilvl w:val="0"/>
          <w:numId w:val="5"/>
        </w:numPr>
        <w:shd w:val="clear" w:color="auto" w:fill="auto"/>
        <w:tabs>
          <w:tab w:val="left" w:pos="308"/>
        </w:tabs>
        <w:spacing w:after="260"/>
        <w:jc w:val="both"/>
      </w:pPr>
      <w:r>
        <w:t>Odstoupením prodávajícího od smlouvy z důvodu prodlení kupujícího není dotčen nárok prodávajícího na úplnou náhradu vzniklé škody.</w:t>
      </w:r>
    </w:p>
    <w:p w:rsidR="009C4942" w:rsidRDefault="00162EB3">
      <w:pPr>
        <w:pStyle w:val="Zkladntext1"/>
        <w:shd w:val="clear" w:color="auto" w:fill="auto"/>
        <w:jc w:val="center"/>
      </w:pPr>
      <w:r>
        <w:rPr>
          <w:b/>
          <w:bCs/>
        </w:rPr>
        <w:t>ČI. IX.</w:t>
      </w:r>
    </w:p>
    <w:p w:rsidR="009C4942" w:rsidRDefault="00162EB3">
      <w:pPr>
        <w:pStyle w:val="Nadpis20"/>
        <w:keepNext/>
        <w:keepLines/>
        <w:shd w:val="clear" w:color="auto" w:fill="auto"/>
      </w:pPr>
      <w:bookmarkStart w:id="18" w:name="bookmark18"/>
      <w:bookmarkStart w:id="19" w:name="bookmark19"/>
      <w:r>
        <w:t>INFORMACE PRO SPOTŘEBITELE O MIMOSOUDNÍM ŘEŠENÍ</w:t>
      </w:r>
      <w:r>
        <w:br/>
        <w:t>SPOTŘEBITELSKÝCH SPORŮ</w:t>
      </w:r>
      <w:bookmarkEnd w:id="18"/>
      <w:bookmarkEnd w:id="19"/>
    </w:p>
    <w:p w:rsidR="009C4942" w:rsidRDefault="00162EB3">
      <w:pPr>
        <w:pStyle w:val="Zkladntext1"/>
        <w:shd w:val="clear" w:color="auto" w:fill="auto"/>
        <w:spacing w:after="260"/>
        <w:jc w:val="both"/>
      </w:pPr>
      <w:r>
        <w:t>Prodávající ve smyslu</w:t>
      </w:r>
      <w:r>
        <w:t xml:space="preserve"> ustanovení § 14 zák. č. 634/1992 Sb. o ochraně spotřebitele (dále jen ZOS) informuje spotřebitele, že v případě vzniku sporu mezi prodávajícím a kupujícím - spotřebitelem, subjektem věcně příslušným pro mimosoudní řešení tohoto spotřebitelského sporu ve s</w:t>
      </w:r>
      <w:r>
        <w:t xml:space="preserve">myslu ustanovení § 20d a násl. ZOS, který se týká automobilu či služeb prodávajícího a který vznikne z kupní smlouvy uzavřené mezi prodávajícím a spotřebitelem, je Česká obchodní inspekce, internetová adresa </w:t>
      </w:r>
      <w:hyperlink r:id="rId16" w:history="1">
        <w:r>
          <w:rPr>
            <w:u w:val="single"/>
            <w:lang w:val="en-US" w:eastAsia="en-US" w:bidi="en-US"/>
          </w:rPr>
          <w:t>www.coi.cz</w:t>
        </w:r>
      </w:hyperlink>
      <w:r>
        <w:rPr>
          <w:lang w:val="en-US" w:eastAsia="en-US" w:bidi="en-US"/>
        </w:rPr>
        <w:t>.</w:t>
      </w:r>
    </w:p>
    <w:p w:rsidR="009C4942" w:rsidRDefault="00162EB3">
      <w:pPr>
        <w:pStyle w:val="Zkladntext1"/>
        <w:shd w:val="clear" w:color="auto" w:fill="auto"/>
        <w:jc w:val="center"/>
      </w:pPr>
      <w:proofErr w:type="spellStart"/>
      <w:proofErr w:type="gramStart"/>
      <w:r>
        <w:rPr>
          <w:b/>
          <w:bCs/>
        </w:rPr>
        <w:t>Čl.X</w:t>
      </w:r>
      <w:proofErr w:type="spellEnd"/>
      <w:proofErr w:type="gramEnd"/>
    </w:p>
    <w:p w:rsidR="009C4942" w:rsidRDefault="00162EB3">
      <w:pPr>
        <w:pStyle w:val="Nadpis20"/>
        <w:keepNext/>
        <w:keepLines/>
        <w:shd w:val="clear" w:color="auto" w:fill="auto"/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:rsidR="009C4942" w:rsidRDefault="00162EB3">
      <w:pPr>
        <w:pStyle w:val="Zkladntext1"/>
        <w:numPr>
          <w:ilvl w:val="0"/>
          <w:numId w:val="6"/>
        </w:numPr>
        <w:shd w:val="clear" w:color="auto" w:fill="auto"/>
        <w:tabs>
          <w:tab w:val="left" w:pos="303"/>
        </w:tabs>
        <w:jc w:val="both"/>
      </w:pPr>
      <w:r>
        <w:rPr>
          <w:b/>
          <w:bCs/>
        </w:rPr>
        <w:t xml:space="preserve">Potvrzení kupujícího - </w:t>
      </w:r>
      <w:r>
        <w:t>kupující podpisem těchto Všeobecných podmínek potvrzuje, že před uzavřením kupní smlouvy (i) byl prodávajícím seznámen s údaji o spotřebě pohonných hmot, emisích CO2 a hlukových emisích kupovaného automobilu a (</w:t>
      </w:r>
      <w:proofErr w:type="spellStart"/>
      <w:r>
        <w:t>ii</w:t>
      </w:r>
      <w:proofErr w:type="spellEnd"/>
      <w:r>
        <w:t>) obdržel od prodávajícího písemnou informaci o označení pneumatik a technický a propagační materiál a informační list výrobku, vše týkající se pneumatik nabízených s kupovaným automobilem, včetně pneumatik namontovaných na automobilu.</w:t>
      </w:r>
    </w:p>
    <w:p w:rsidR="009C4942" w:rsidRDefault="00162EB3">
      <w:pPr>
        <w:pStyle w:val="Zkladntext1"/>
        <w:numPr>
          <w:ilvl w:val="0"/>
          <w:numId w:val="6"/>
        </w:numPr>
        <w:shd w:val="clear" w:color="auto" w:fill="auto"/>
        <w:tabs>
          <w:tab w:val="left" w:pos="322"/>
        </w:tabs>
        <w:spacing w:after="60"/>
        <w:jc w:val="both"/>
      </w:pPr>
      <w:r>
        <w:t>Kupující tímto dáv</w:t>
      </w:r>
      <w:r>
        <w:t xml:space="preserve">á prodávajícímu a dále společnosti </w:t>
      </w:r>
      <w:r>
        <w:rPr>
          <w:b/>
          <w:bCs/>
          <w:lang w:val="en-US" w:eastAsia="en-US" w:bidi="en-US"/>
        </w:rPr>
        <w:t xml:space="preserve">TOYOTA CENTRAL EUROPE </w:t>
      </w:r>
      <w:proofErr w:type="spellStart"/>
      <w:r>
        <w:rPr>
          <w:b/>
          <w:bCs/>
        </w:rPr>
        <w:t>Kft</w:t>
      </w:r>
      <w:proofErr w:type="spellEnd"/>
      <w:r>
        <w:rPr>
          <w:b/>
          <w:bCs/>
        </w:rPr>
        <w:t xml:space="preserve">., </w:t>
      </w:r>
      <w:r>
        <w:t xml:space="preserve">se sídlem 2040 </w:t>
      </w:r>
      <w:proofErr w:type="spellStart"/>
      <w:r>
        <w:t>Budadrs</w:t>
      </w:r>
      <w:proofErr w:type="spellEnd"/>
      <w:r>
        <w:t xml:space="preserve">, </w:t>
      </w:r>
      <w:proofErr w:type="spellStart"/>
      <w:r>
        <w:t>Budapark</w:t>
      </w:r>
      <w:proofErr w:type="spellEnd"/>
      <w:r>
        <w:t xml:space="preserve"> </w:t>
      </w:r>
      <w:proofErr w:type="spellStart"/>
      <w:r>
        <w:t>Keleti</w:t>
      </w:r>
      <w:proofErr w:type="spellEnd"/>
      <w:r>
        <w:t xml:space="preserve"> 4, Maďarsko (dále jen </w:t>
      </w:r>
      <w:r>
        <w:rPr>
          <w:b/>
          <w:bCs/>
        </w:rPr>
        <w:t xml:space="preserve">„TCE“), </w:t>
      </w:r>
      <w:r>
        <w:t xml:space="preserve">která je dovozcem vozů </w:t>
      </w:r>
      <w:r>
        <w:rPr>
          <w:lang w:val="en-US" w:eastAsia="en-US" w:bidi="en-US"/>
        </w:rPr>
        <w:t xml:space="preserve">TOYOTA a LEXUS </w:t>
      </w:r>
      <w:r>
        <w:t xml:space="preserve">do České republiky a dále společnosti </w:t>
      </w:r>
      <w:r>
        <w:rPr>
          <w:b/>
          <w:bCs/>
          <w:lang w:val="en-US" w:eastAsia="en-US" w:bidi="en-US"/>
        </w:rPr>
        <w:t xml:space="preserve">Toyota Central Europe </w:t>
      </w:r>
      <w:r>
        <w:rPr>
          <w:b/>
          <w:bCs/>
        </w:rPr>
        <w:t xml:space="preserve">- </w:t>
      </w:r>
      <w:r>
        <w:rPr>
          <w:b/>
          <w:bCs/>
          <w:lang w:val="en-US" w:eastAsia="en-US" w:bidi="en-US"/>
        </w:rPr>
        <w:t xml:space="preserve">Czech s.r.o., </w:t>
      </w:r>
      <w:r>
        <w:t xml:space="preserve">IČ: </w:t>
      </w:r>
      <w:r>
        <w:rPr>
          <w:lang w:val="en-US" w:eastAsia="en-US" w:bidi="en-US"/>
        </w:rPr>
        <w:t xml:space="preserve">601 98 435, </w:t>
      </w:r>
      <w:r>
        <w:t xml:space="preserve">se sídlem: </w:t>
      </w:r>
      <w:r>
        <w:rPr>
          <w:lang w:val="en-US" w:eastAsia="en-US" w:bidi="en-US"/>
        </w:rPr>
        <w:t xml:space="preserve">Praha 5, </w:t>
      </w:r>
      <w:r>
        <w:t xml:space="preserve">Stodůlky, PSČ 150 00, Bavorská 2662/1, zapsané v </w:t>
      </w:r>
      <w:r>
        <w:rPr>
          <w:lang w:val="en-US" w:eastAsia="en-US" w:bidi="en-US"/>
        </w:rPr>
        <w:t xml:space="preserve">OR </w:t>
      </w:r>
      <w:r>
        <w:t xml:space="preserve">vedeném Městským soudem v Praze, </w:t>
      </w:r>
      <w:r>
        <w:rPr>
          <w:lang w:val="en-US" w:eastAsia="en-US" w:bidi="en-US"/>
        </w:rPr>
        <w:t xml:space="preserve">odd. </w:t>
      </w:r>
      <w:r>
        <w:t xml:space="preserve">C, </w:t>
      </w:r>
      <w:proofErr w:type="spellStart"/>
      <w:r>
        <w:t>vl</w:t>
      </w:r>
      <w:proofErr w:type="spellEnd"/>
      <w:r>
        <w:t xml:space="preserve">. 24834, která zajišťuje pro TCE prodejní a poprodejní servis vozidel </w:t>
      </w:r>
      <w:r>
        <w:rPr>
          <w:lang w:val="en-US" w:eastAsia="en-US" w:bidi="en-US"/>
        </w:rPr>
        <w:t xml:space="preserve">TOYOTA a LEXUS </w:t>
      </w:r>
      <w:r>
        <w:t>na území České republiky (dále jen „TCEC“) s</w:t>
      </w:r>
      <w:r>
        <w:t>vůj bezvýhradný a dobrovolný souhlas ve smyslu zákona č. 101/2000 Sb., o ochraně osobních údajů a o změně některých zákonů (dále jen „zákon OOÚ“) a zákona č. 133/2000 Sb., o evidenci obyvatel a rodných číslech, s tím, aby jeho osobní údaje: jméno a příjmen</w:t>
      </w:r>
      <w:r>
        <w:t>í, datum narození, identifikační číslo, státní příslušnost, číslo občanského průkazu, číslo jiného osobního dokladu, poštovní adresa, místo podnikání, telefonní a faxové číslo, elektronická (emailová) adresa, bankovní spojení, jiné adresní údaje předané ku</w:t>
      </w:r>
      <w:r>
        <w:t>pujícím a veškeré dostupné údaje o zakoupeném vozidle (zejména VIN a RZ) dle kupní smlouvy (dále jen „osobní údaje“) byly pro účely (i) dodržování právních povinností prodávajícího jako prodejce vozidel, TCE jako dovozce vozidel a TCEC (zejména svolávací a</w:t>
      </w:r>
      <w:r>
        <w:t xml:space="preserve"> servisní akce), (</w:t>
      </w:r>
      <w:proofErr w:type="spellStart"/>
      <w:r>
        <w:t>ii</w:t>
      </w:r>
      <w:proofErr w:type="spellEnd"/>
      <w:r>
        <w:t>) ochrany práv a právem chráněných zájmů prodávajícího, TCE a TCEC, (</w:t>
      </w:r>
      <w:proofErr w:type="spellStart"/>
      <w:r>
        <w:t>iii</w:t>
      </w:r>
      <w:proofErr w:type="spellEnd"/>
      <w:r>
        <w:t>) plnění kupní smlouvy, (</w:t>
      </w:r>
      <w:proofErr w:type="spellStart"/>
      <w:r>
        <w:t>iv</w:t>
      </w:r>
      <w:proofErr w:type="spellEnd"/>
      <w:r>
        <w:t>) potřeby vyhotovení duplikátu identifikátoru vozidla (VIN), (v) nabízení a poskytování asistenčních služeb, (</w:t>
      </w:r>
      <w:proofErr w:type="spellStart"/>
      <w:r>
        <w:t>vi</w:t>
      </w:r>
      <w:proofErr w:type="spellEnd"/>
      <w:r>
        <w:t>) zjišťování spokojenosti</w:t>
      </w:r>
      <w:r>
        <w:t xml:space="preserve"> zákazníků s poskytovanými službami, (</w:t>
      </w:r>
      <w:proofErr w:type="spellStart"/>
      <w:r>
        <w:t>vii</w:t>
      </w:r>
      <w:proofErr w:type="spellEnd"/>
      <w:r>
        <w:t>) nabídky a průzkumu nabídky obchodu a služeb, (</w:t>
      </w:r>
      <w:proofErr w:type="spellStart"/>
      <w:r>
        <w:t>viii</w:t>
      </w:r>
      <w:proofErr w:type="spellEnd"/>
      <w:r>
        <w:t>) jiných marketingových, reklamních a průzkumných akcí, (</w:t>
      </w:r>
      <w:proofErr w:type="spellStart"/>
      <w:r>
        <w:t>ix</w:t>
      </w:r>
      <w:proofErr w:type="spellEnd"/>
      <w:r>
        <w:t>) velkoobchodu a maloobchodu - vytváření databáze zákazníků, (x) vedení statistiky, (</w:t>
      </w:r>
      <w:proofErr w:type="spellStart"/>
      <w:r>
        <w:t>xi</w:t>
      </w:r>
      <w:proofErr w:type="spellEnd"/>
      <w:r>
        <w:t xml:space="preserve">) vedení archivu </w:t>
      </w:r>
      <w:r>
        <w:t>podle příslušného zákona, zpracovávány prodávajícím, TCE a TCEC jako správci osobních údajů.</w:t>
      </w:r>
      <w:r>
        <w:br w:type="page"/>
      </w:r>
    </w:p>
    <w:p w:rsidR="009C4942" w:rsidRDefault="00162EB3">
      <w:pPr>
        <w:pStyle w:val="Zkladntext1"/>
        <w:shd w:val="clear" w:color="auto" w:fill="auto"/>
        <w:jc w:val="both"/>
      </w:pPr>
      <w:r>
        <w:lastRenderedPageBreak/>
        <w:t>Kupující tímto také dává prodávajícímu, TCE a TCEC souhlas s pořízením a uchováváním fotokopie svých osobních dokladů a technického průkazu.</w:t>
      </w:r>
    </w:p>
    <w:p w:rsidR="009C4942" w:rsidRDefault="00162EB3">
      <w:pPr>
        <w:pStyle w:val="Zkladntext1"/>
        <w:shd w:val="clear" w:color="auto" w:fill="auto"/>
        <w:jc w:val="both"/>
      </w:pPr>
      <w:r>
        <w:t xml:space="preserve">Kupující souhlasí s </w:t>
      </w:r>
      <w:r>
        <w:t>tím, aby osobní údaje byly za výše uvedenými účely mezi prodávajícím, TCE a TCEC předávány.</w:t>
      </w:r>
    </w:p>
    <w:p w:rsidR="009C4942" w:rsidRDefault="00162EB3">
      <w:pPr>
        <w:pStyle w:val="Zkladntext1"/>
        <w:shd w:val="clear" w:color="auto" w:fill="auto"/>
        <w:jc w:val="both"/>
      </w:pPr>
      <w:r>
        <w:t>Osobní údaje mohou být dále zpřístupněny pouze příslušnému zpracovateli osobních údajů, který pro prodávajícího, TCE nebo TCEC osobní údaje zpracovává. Dalším osobá</w:t>
      </w:r>
      <w:r>
        <w:t>m nebudou osobní údaje bez vědomí kupujícího zpřístupněny, ledaže by povinnost poskytnout osobní údaje kupujícího vyplývala ze zákona. Poskytnutí osobních údajů je dobrovolné. Osobní údaje budou zpracovávány jen k výše uvedeným účelům a způsobem nepoškozuj</w:t>
      </w:r>
      <w:r>
        <w:t>ícím kupujícího. Kupující dává svůj souhlas se zpracováním osobních údajů po dobu 10 let od data podpisu tohoto souhlasu / resp. této smlouvy. Tento souhlas může být kdykoliv kupujícím písemně odvolán na adrese prodávajícího.</w:t>
      </w:r>
    </w:p>
    <w:p w:rsidR="009C4942" w:rsidRDefault="00162EB3">
      <w:pPr>
        <w:pStyle w:val="Zkladntext1"/>
        <w:shd w:val="clear" w:color="auto" w:fill="auto"/>
        <w:jc w:val="both"/>
      </w:pPr>
      <w:r>
        <w:t>Kupující má dle § 11 zákona OO</w:t>
      </w:r>
      <w:r>
        <w:t>Ú právo na přístup k osobním údajům a právo na opravu osobních údajů. Kupující má dále dle § 12 zákona OOÚ, pokud o to prodávajícího nebo TCE nebo TCEC požádá, právo na informaci o zpracování svých osobních údajů a prodávající nebo TCE nebo TCEC je povinen</w:t>
      </w:r>
      <w:r>
        <w:t xml:space="preserve"> mu tuto informaci bez zbytečného odkladu předat. Kupující má zároveň dle § 21 zákona OOÚ právo, v případě, že zjistí nebo se domnívá, že prodávající, TCE nebo TCEC provádí zpracování jeho osobních údajů způsobem, který je v rozporu s ochranou soukromého a</w:t>
      </w:r>
      <w:r>
        <w:t xml:space="preserve"> osobního života kupujícího nebo v rozporu se zákonem, požádat prodávajícího nebo TCE nebo TCEC o vysvětlení, resp. požadovat, aby prodávající nebo TCE nebo TCEC takto vzniklý stav odstranil a dále právo obrátit se na Úřad pro ochranu osobních údajů.</w:t>
      </w:r>
    </w:p>
    <w:p w:rsidR="009C4942" w:rsidRDefault="00162EB3">
      <w:pPr>
        <w:pStyle w:val="Zkladntext1"/>
        <w:shd w:val="clear" w:color="auto" w:fill="auto"/>
        <w:jc w:val="both"/>
      </w:pPr>
      <w:r>
        <w:t>Kupuj</w:t>
      </w:r>
      <w:r>
        <w:t>ící dává souhlas prodávajícímu, TCE a TCEC k zasílání informací, novinek a obchodních sdělení týkajících se zboží a služeb prodávajícího, TCE nebo TCEC prostřednictvím elektronické pošty, poštovní adresy kupujícího, faxu či telefonu. Tento souhlas může být</w:t>
      </w:r>
      <w:r>
        <w:t xml:space="preserve"> kupujícím písemně odvolán na adrese prodávajícího.</w:t>
      </w:r>
    </w:p>
    <w:p w:rsidR="009C4942" w:rsidRDefault="00162EB3">
      <w:pPr>
        <w:pStyle w:val="Zkladntext1"/>
        <w:numPr>
          <w:ilvl w:val="0"/>
          <w:numId w:val="6"/>
        </w:numPr>
        <w:shd w:val="clear" w:color="auto" w:fill="auto"/>
        <w:tabs>
          <w:tab w:val="left" w:pos="298"/>
        </w:tabs>
        <w:jc w:val="both"/>
      </w:pPr>
      <w:r>
        <w:t>Pokud ve smlouvě není stanoveno jinak, k převodu nebo přechodu práv a povinností vyplývajících z uzavřené kupní smlouvy je nutný vždy souhlas obou smluvních stran.</w:t>
      </w:r>
    </w:p>
    <w:p w:rsidR="009C4942" w:rsidRDefault="00162EB3">
      <w:pPr>
        <w:pStyle w:val="Zkladntext1"/>
        <w:numPr>
          <w:ilvl w:val="0"/>
          <w:numId w:val="6"/>
        </w:numPr>
        <w:shd w:val="clear" w:color="auto" w:fill="auto"/>
        <w:tabs>
          <w:tab w:val="left" w:pos="294"/>
        </w:tabs>
        <w:spacing w:after="540"/>
        <w:jc w:val="both"/>
      </w:pPr>
      <w:r>
        <w:rPr>
          <w:noProof/>
          <w:lang w:bidi="ar-SA"/>
        </w:rPr>
        <w:drawing>
          <wp:anchor distT="15240" distB="381000" distL="129540" distR="1126490" simplePos="0" relativeHeight="125829388" behindDoc="0" locked="0" layoutInCell="1" allowOverlap="1">
            <wp:simplePos x="0" y="0"/>
            <wp:positionH relativeFrom="page">
              <wp:posOffset>937895</wp:posOffset>
            </wp:positionH>
            <wp:positionV relativeFrom="paragraph">
              <wp:posOffset>662940</wp:posOffset>
            </wp:positionV>
            <wp:extent cx="743585" cy="207010"/>
            <wp:effectExtent l="0" t="0" r="0" b="0"/>
            <wp:wrapSquare wrapText="right"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4358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922655</wp:posOffset>
                </wp:positionH>
                <wp:positionV relativeFrom="paragraph">
                  <wp:posOffset>1047115</wp:posOffset>
                </wp:positionV>
                <wp:extent cx="762000" cy="204470"/>
                <wp:effectExtent l="0" t="0" r="0" b="0"/>
                <wp:wrapNone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C4942" w:rsidRDefault="00162EB3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Prodávající: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72.650000000000006pt;margin-top:82.450000000000003pt;width:60.pt;height:16.10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386715" distL="918845" distR="114300" simplePos="0" relativeHeight="125829389" behindDoc="0" locked="0" layoutInCell="1" allowOverlap="1">
            <wp:simplePos x="0" y="0"/>
            <wp:positionH relativeFrom="page">
              <wp:posOffset>1727200</wp:posOffset>
            </wp:positionH>
            <wp:positionV relativeFrom="paragraph">
              <wp:posOffset>647700</wp:posOffset>
            </wp:positionV>
            <wp:extent cx="969010" cy="219710"/>
            <wp:effectExtent l="0" t="0" r="0" b="0"/>
            <wp:wrapSquare wrapText="right"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969010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 případě rozdílu mezi</w:t>
      </w:r>
      <w:r>
        <w:t xml:space="preserve"> ujednáním v kupní smlouvě a těmito Všeobecnými podmínkami je rozhodující ujednání v kupní smlouvě.</w:t>
      </w:r>
    </w:p>
    <w:p w:rsidR="009C4942" w:rsidRDefault="00162EB3">
      <w:pPr>
        <w:pStyle w:val="Zkladntext1"/>
        <w:shd w:val="clear" w:color="auto" w:fill="auto"/>
        <w:tabs>
          <w:tab w:val="left" w:pos="2922"/>
          <w:tab w:val="left" w:leader="dot" w:pos="3196"/>
        </w:tabs>
        <w:spacing w:after="260"/>
        <w:ind w:left="2020"/>
      </w:pPr>
      <w:r>
        <w:t>V</w:t>
      </w:r>
      <w:r>
        <w:tab/>
      </w:r>
      <w:r>
        <w:tab/>
        <w:t>dne</w:t>
      </w:r>
    </w:p>
    <w:p w:rsidR="009C4942" w:rsidRDefault="00162EB3">
      <w:pPr>
        <w:pStyle w:val="Zkladntext1"/>
        <w:shd w:val="clear" w:color="auto" w:fill="auto"/>
        <w:ind w:left="2020"/>
        <w:sectPr w:rsidR="009C4942">
          <w:headerReference w:type="default" r:id="rId19"/>
          <w:footerReference w:type="default" r:id="rId20"/>
          <w:pgSz w:w="11900" w:h="16840"/>
          <w:pgMar w:top="1377" w:right="1241" w:bottom="1357" w:left="1420" w:header="949" w:footer="3" w:gutter="0"/>
          <w:pgNumType w:start="2"/>
          <w:cols w:space="720"/>
          <w:noEndnote/>
          <w:docGrid w:linePitch="360"/>
        </w:sectPr>
      </w:pPr>
      <w:r>
        <w:t>Kupující:</w:t>
      </w:r>
    </w:p>
    <w:p w:rsidR="009C4942" w:rsidRDefault="009C4942">
      <w:pPr>
        <w:spacing w:line="179" w:lineRule="exact"/>
        <w:rPr>
          <w:sz w:val="14"/>
          <w:szCs w:val="14"/>
        </w:rPr>
      </w:pPr>
    </w:p>
    <w:p w:rsidR="009C4942" w:rsidRDefault="009C4942">
      <w:pPr>
        <w:spacing w:line="1" w:lineRule="exact"/>
        <w:sectPr w:rsidR="009C4942">
          <w:type w:val="continuous"/>
          <w:pgSz w:w="11900" w:h="16840"/>
          <w:pgMar w:top="1330" w:right="0" w:bottom="910" w:left="0" w:header="0" w:footer="3" w:gutter="0"/>
          <w:cols w:space="720"/>
          <w:noEndnote/>
          <w:docGrid w:linePitch="360"/>
        </w:sectPr>
      </w:pPr>
    </w:p>
    <w:p w:rsidR="009C4942" w:rsidRDefault="00162EB3">
      <w:pPr>
        <w:pStyle w:val="Zkladntext1"/>
        <w:framePr w:w="3072" w:h="552" w:wrap="none" w:vAnchor="text" w:hAnchor="page" w:x="1454" w:y="21"/>
        <w:shd w:val="clear" w:color="auto" w:fill="auto"/>
      </w:pPr>
      <w:r>
        <w:t>[obchodní firma prodávajícího] Jméno:</w:t>
      </w:r>
    </w:p>
    <w:p w:rsidR="009C4942" w:rsidRDefault="00162EB3">
      <w:pPr>
        <w:pStyle w:val="Zkladntext1"/>
        <w:framePr w:w="3965" w:h="331" w:wrap="none" w:vAnchor="text" w:hAnchor="page" w:x="6437" w:y="21"/>
        <w:shd w:val="clear" w:color="auto" w:fill="auto"/>
      </w:pPr>
      <w:r>
        <w:t>[jméno nebo obchodní firma kupujícího]</w:t>
      </w:r>
    </w:p>
    <w:p w:rsidR="009C4942" w:rsidRDefault="00162EB3">
      <w:pPr>
        <w:pStyle w:val="Zkladntext1"/>
        <w:framePr w:w="797" w:h="269" w:wrap="none" w:vAnchor="text" w:hAnchor="page" w:x="1459" w:y="558"/>
        <w:shd w:val="clear" w:color="auto" w:fill="auto"/>
      </w:pPr>
      <w:r>
        <w:t>Funkce:</w:t>
      </w:r>
    </w:p>
    <w:p w:rsidR="009C4942" w:rsidRDefault="009C4942">
      <w:pPr>
        <w:spacing w:line="360" w:lineRule="exact"/>
      </w:pPr>
      <w:bookmarkStart w:id="22" w:name="_GoBack"/>
      <w:bookmarkEnd w:id="22"/>
    </w:p>
    <w:p w:rsidR="009C4942" w:rsidRDefault="009C4942">
      <w:pPr>
        <w:spacing w:line="360" w:lineRule="exact"/>
      </w:pPr>
    </w:p>
    <w:p w:rsidR="009C4942" w:rsidRDefault="009C4942">
      <w:pPr>
        <w:spacing w:after="383" w:line="1" w:lineRule="exact"/>
      </w:pPr>
    </w:p>
    <w:p w:rsidR="009C4942" w:rsidRDefault="009C4942">
      <w:pPr>
        <w:spacing w:line="1" w:lineRule="exact"/>
      </w:pPr>
    </w:p>
    <w:sectPr w:rsidR="009C4942">
      <w:type w:val="continuous"/>
      <w:pgSz w:w="11900" w:h="16840"/>
      <w:pgMar w:top="1330" w:right="1368" w:bottom="910" w:left="13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B3" w:rsidRDefault="00162EB3">
      <w:r>
        <w:separator/>
      </w:r>
    </w:p>
  </w:endnote>
  <w:endnote w:type="continuationSeparator" w:id="0">
    <w:p w:rsidR="00162EB3" w:rsidRDefault="0016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162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5238115</wp:posOffset>
              </wp:positionH>
              <wp:positionV relativeFrom="page">
                <wp:posOffset>10350500</wp:posOffset>
              </wp:positionV>
              <wp:extent cx="1576070" cy="13398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60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Zpracováno programem firmy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TEAS^ Zlín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position:absolute;margin-left:412.44999999999999pt;margin-top:815.pt;width:124.09999999999999pt;height:10.55000000000000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Zpracováno programem firmy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TEAS^ Zlín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162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752" behindDoc="1" locked="0" layoutInCell="1" allowOverlap="1">
              <wp:simplePos x="0" y="0"/>
              <wp:positionH relativeFrom="page">
                <wp:posOffset>562610</wp:posOffset>
              </wp:positionH>
              <wp:positionV relativeFrom="page">
                <wp:posOffset>10337165</wp:posOffset>
              </wp:positionV>
              <wp:extent cx="6678295" cy="9779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7829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tabs>
                              <w:tab w:val="right" w:pos="1378"/>
                              <w:tab w:val="right" w:pos="2774"/>
                              <w:tab w:val="right" w:pos="10493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-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 xml:space="preserve">   -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>—"</w:t>
                          </w:r>
                          <w:r>
                            <w:rPr>
                              <w:sz w:val="14"/>
                              <w:szCs w:val="14"/>
                            </w:rPr>
                            <w:tab/>
                            <w:t xml:space="preserve">Zpracováno programem firmy </w:t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TEAS </w:t>
                          </w:r>
                          <w:proofErr w:type="gramStart"/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Zlín ————</w:t>
                          </w:r>
                          <w:proofErr w:type="gramEnd"/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44.299999999999997pt;margin-top:813.95000000000005pt;width:525.85000000000002pt;height:7.7000000000000002pt;z-index:-188744057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378" w:val="right"/>
                        <w:tab w:pos="2774" w:val="right"/>
                        <w:tab w:pos="10493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-</w:t>
                      <w:tab/>
                      <w:t xml:space="preserve">   -</w:t>
                      <w:tab/>
                      <w:t>—"</w:t>
                      <w:tab/>
                      <w:t xml:space="preserve">Zpracováno programem firmy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 xml:space="preserve">TEAS </w:t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Zlín ————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4656" behindDoc="1" locked="0" layoutInCell="1" allowOverlap="1">
              <wp:simplePos x="0" y="0"/>
              <wp:positionH relativeFrom="page">
                <wp:posOffset>389255</wp:posOffset>
              </wp:positionH>
              <wp:positionV relativeFrom="page">
                <wp:posOffset>10394950</wp:posOffset>
              </wp:positionV>
              <wp:extent cx="4681855" cy="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81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649999999999999pt;margin-top:818.5pt;width:36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162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776" behindDoc="1" locked="0" layoutInCell="1" allowOverlap="1">
              <wp:simplePos x="0" y="0"/>
              <wp:positionH relativeFrom="page">
                <wp:posOffset>941070</wp:posOffset>
              </wp:positionH>
              <wp:positionV relativeFrom="page">
                <wp:posOffset>10295890</wp:posOffset>
              </wp:positionV>
              <wp:extent cx="3246120" cy="8509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4612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TCECZ-2016-750 všeobecné podmínky prodeje automobilů značky </w:t>
                          </w:r>
                          <w:r>
                            <w:rPr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TOYOTA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080621 SH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74.099999999999994pt;margin-top:810.70000000000005pt;width:255.59999999999999pt;height:6.70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TCECZ-2016-750 všeobecné podmínky prodeje automobilů značky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TOYOTA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080621 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162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6677660</wp:posOffset>
              </wp:positionH>
              <wp:positionV relativeFrom="page">
                <wp:posOffset>10182860</wp:posOffset>
              </wp:positionV>
              <wp:extent cx="54610" cy="91440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09C8">
                            <w:rPr>
                              <w:rFonts w:ascii="Tahoma" w:eastAsia="Tahoma" w:hAnsi="Tahoma" w:cs="Tahoma"/>
                              <w:noProof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Tahoma" w:eastAsia="Tahoma" w:hAnsi="Tahoma"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5" o:spid="_x0000_s1038" type="#_x0000_t202" style="position:absolute;margin-left:525.8pt;margin-top:801.8pt;width:4.3pt;height:7.2pt;z-index:-2516556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" filled="f" stroked="f">
              <v:textbox style="mso-fit-shape-to-text:t" inset="0,0,0,0">
                <w:txbxContent>
                  <w:p w:rsidR="009C4942" w:rsidRDefault="00162EB3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ahoma" w:eastAsia="Tahoma" w:hAnsi="Tahoma"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Tahoma" w:eastAsia="Tahoma" w:hAnsi="Tahoma" w:cs="Tahoma"/>
                        <w:sz w:val="18"/>
                        <w:szCs w:val="18"/>
                      </w:rPr>
                      <w:instrText xml:space="preserve"> PAGE \* MERGEFORMAT </w:instrText>
                    </w:r>
                    <w:r>
                      <w:rPr>
                        <w:rFonts w:ascii="Tahoma" w:eastAsia="Tahoma" w:hAnsi="Tahoma" w:cs="Tahoma"/>
                        <w:sz w:val="18"/>
                        <w:szCs w:val="18"/>
                      </w:rPr>
                      <w:fldChar w:fldCharType="separate"/>
                    </w:r>
                    <w:r w:rsidR="002809C8">
                      <w:rPr>
                        <w:rFonts w:ascii="Tahoma" w:eastAsia="Tahoma" w:hAnsi="Tahoma" w:cs="Tahoma"/>
                        <w:noProof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Tahoma" w:eastAsia="Tahoma" w:hAnsi="Tahoma"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824" behindDoc="1" locked="0" layoutInCell="1" allowOverlap="1">
              <wp:simplePos x="0" y="0"/>
              <wp:positionH relativeFrom="page">
                <wp:posOffset>956310</wp:posOffset>
              </wp:positionH>
              <wp:positionV relativeFrom="page">
                <wp:posOffset>10472420</wp:posOffset>
              </wp:positionV>
              <wp:extent cx="3234055" cy="8826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405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TCECZ-2016-750 všeobecné podmínky prodeje automobilů značky </w:t>
                          </w:r>
                          <w:r>
                            <w:rPr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TOYOTA </w:t>
                          </w:r>
                          <w:r>
                            <w:rPr>
                              <w:sz w:val="14"/>
                              <w:szCs w:val="14"/>
                            </w:rPr>
                            <w:t>080621 SH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63" type="#_x0000_t202" style="position:absolute;margin-left:75.299999999999997pt;margin-top:824.60000000000002pt;width:254.65000000000001pt;height:6.9500000000000002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TCECZ-2016-750 všeobecné podmínky prodeje automobilů značky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 xml:space="preserve">TOYOTA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080621 SH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B3" w:rsidRDefault="00162EB3"/>
  </w:footnote>
  <w:footnote w:type="continuationSeparator" w:id="0">
    <w:p w:rsidR="00162EB3" w:rsidRDefault="00162EB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162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443865</wp:posOffset>
              </wp:positionH>
              <wp:positionV relativeFrom="page">
                <wp:posOffset>923290</wp:posOffset>
              </wp:positionV>
              <wp:extent cx="6788150" cy="2070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0" cy="207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tabs>
                              <w:tab w:val="right" w:pos="10690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0"/>
                              <w:szCs w:val="30"/>
                              <w:lang w:val="en-US" w:eastAsia="en-US" w:bidi="en-US"/>
                            </w:rPr>
                            <w:t>TOYOTA</w:t>
                          </w:r>
                          <w:r>
                            <w:rPr>
                              <w:rFonts w:ascii="Arial" w:eastAsia="Arial" w:hAnsi="Arial" w:cs="Arial"/>
                              <w:sz w:val="30"/>
                              <w:szCs w:val="3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Kupní smlouva o prodeji automobilu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en-US" w:eastAsia="en-US" w:bidi="en-US"/>
                            </w:rPr>
                            <w:t>TOYOTA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.950000000000003pt;margin-top:72.700000000000003pt;width:534.5pt;height:16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690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eastAsia="en-US" w:bidi="en-US"/>
                      </w:rPr>
                      <w:t>TOYOTA</w:t>
                      <w:tab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Kupní smlouva o prodeji automobilu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TOYOTA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3632" behindDoc="1" locked="0" layoutInCell="1" allowOverlap="1">
              <wp:simplePos x="0" y="0"/>
              <wp:positionH relativeFrom="page">
                <wp:posOffset>398145</wp:posOffset>
              </wp:positionH>
              <wp:positionV relativeFrom="page">
                <wp:posOffset>1174750</wp:posOffset>
              </wp:positionV>
              <wp:extent cx="68364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350000000000001pt;margin-top:92.5pt;width:538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162EB3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728" behindDoc="1" locked="0" layoutInCell="1" allowOverlap="1">
              <wp:simplePos x="0" y="0"/>
              <wp:positionH relativeFrom="page">
                <wp:posOffset>401320</wp:posOffset>
              </wp:positionH>
              <wp:positionV relativeFrom="page">
                <wp:posOffset>857885</wp:posOffset>
              </wp:positionV>
              <wp:extent cx="6842760" cy="2101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276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C4942" w:rsidRDefault="00162EB3">
                          <w:pPr>
                            <w:pStyle w:val="Zhlavnebozpat20"/>
                            <w:shd w:val="clear" w:color="auto" w:fill="auto"/>
                            <w:tabs>
                              <w:tab w:val="right" w:pos="10776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30"/>
                              <w:szCs w:val="30"/>
                              <w:lang w:val="en-US" w:eastAsia="en-US" w:bidi="en-US"/>
                            </w:rPr>
                            <w:t>TOYOTA</w:t>
                          </w:r>
                          <w:r>
                            <w:rPr>
                              <w:rFonts w:ascii="Arial" w:eastAsia="Arial" w:hAnsi="Arial" w:cs="Arial"/>
                              <w:sz w:val="30"/>
                              <w:szCs w:val="3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 xml:space="preserve">Kupní smlouva o prodeji automobilu </w:t>
                          </w:r>
                          <w:r>
                            <w:rPr>
                              <w:rFonts w:ascii="Verdana" w:eastAsia="Verdana" w:hAnsi="Verdana" w:cs="Verdana"/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  <w:lang w:val="en-US" w:eastAsia="en-US" w:bidi="en-US"/>
                            </w:rPr>
                            <w:t>TOYOTA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31.600000000000001pt;margin-top:67.549999999999997pt;width:538.79999999999995pt;height:16.550000000000001pt;z-index:-188744059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7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77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  <w:shd w:val="clear" w:color="auto" w:fill="auto"/>
                        <w:lang w:val="en-US" w:eastAsia="en-US" w:bidi="en-US"/>
                      </w:rPr>
                      <w:t>TOYOTA</w:t>
                      <w:tab/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cs-CZ" w:eastAsia="cs-CZ" w:bidi="cs-CZ"/>
                      </w:rPr>
                      <w:t xml:space="preserve">Kupní smlouva o prodeji automobilu </w:t>
                    </w:r>
                    <w:r>
                      <w:rPr>
                        <w:rFonts w:ascii="Verdana" w:eastAsia="Verdana" w:hAnsi="Verdana" w:cs="Verdana"/>
                        <w:b/>
                        <w:bCs/>
                        <w:i/>
                        <w:iCs/>
                        <w:color w:val="000000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en-US" w:eastAsia="en-US" w:bidi="en-US"/>
                      </w:rPr>
                      <w:t>TOYOTA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9C4942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4942" w:rsidRDefault="009C494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3633A"/>
    <w:multiLevelType w:val="multilevel"/>
    <w:tmpl w:val="DE66A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93A2238"/>
    <w:multiLevelType w:val="multilevel"/>
    <w:tmpl w:val="069847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4800C7"/>
    <w:multiLevelType w:val="multilevel"/>
    <w:tmpl w:val="042E9D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4D96B5A"/>
    <w:multiLevelType w:val="multilevel"/>
    <w:tmpl w:val="4B709B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8327098"/>
    <w:multiLevelType w:val="multilevel"/>
    <w:tmpl w:val="B008CC48"/>
    <w:lvl w:ilvl="0">
      <w:start w:val="6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BB4EF1"/>
    <w:multiLevelType w:val="multilevel"/>
    <w:tmpl w:val="8D069E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942"/>
    <w:rsid w:val="00162EB3"/>
    <w:rsid w:val="002809C8"/>
    <w:rsid w:val="009C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B2E04-5987-47D6-A614-D9341003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57" w:lineRule="auto"/>
    </w:pPr>
    <w:rPr>
      <w:rFonts w:ascii="Arial" w:eastAsia="Arial" w:hAnsi="Arial" w:cs="Arial"/>
      <w:i/>
      <w:iCs/>
      <w:sz w:val="13"/>
      <w:szCs w:val="13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auto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0" w:line="276" w:lineRule="auto"/>
    </w:pPr>
    <w:rPr>
      <w:rFonts w:ascii="Tahoma" w:eastAsia="Tahoma" w:hAnsi="Tahoma" w:cs="Tahoma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0"/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psky@lesydvur.cz" TargetMode="External"/><Relationship Id="rId13" Type="http://schemas.openxmlformats.org/officeDocument/2006/relationships/hyperlink" Target="http://www.toyota.cz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toyota@autostyl.eu" TargetMode="External"/><Relationship Id="rId12" Type="http://schemas.openxmlformats.org/officeDocument/2006/relationships/footer" Target="footer2.xml"/><Relationship Id="rId1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www.coi.cz" TargetMode="Externa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2806</Words>
  <Characters>16561</Characters>
  <Application>Microsoft Office Word</Application>
  <DocSecurity>0</DocSecurity>
  <Lines>138</Lines>
  <Paragraphs>38</Paragraphs>
  <ScaleCrop>false</ScaleCrop>
  <Company/>
  <LinksUpToDate>false</LinksUpToDate>
  <CharactersWithSpaces>19329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2021-07-14T07:15:00Z</dcterms:created>
  <dcterms:modified xsi:type="dcterms:W3CDTF">2021-07-14T07:25:00Z</dcterms:modified>
</cp:coreProperties>
</file>