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616D0C8E"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7F7784">
        <w:rPr>
          <w:rFonts w:cs="Arial"/>
          <w:b/>
          <w:szCs w:val="22"/>
        </w:rPr>
        <w:t>704</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6E653860" w:rsidR="00032856" w:rsidRPr="00F01557" w:rsidRDefault="00D41C85" w:rsidP="00032856">
      <w:pPr>
        <w:jc w:val="center"/>
        <w:rPr>
          <w:rFonts w:cs="Arial"/>
        </w:rPr>
      </w:pPr>
      <w:r w:rsidRPr="00D41C85">
        <w:rPr>
          <w:rFonts w:cs="Arial"/>
          <w:b/>
        </w:rPr>
        <w:t xml:space="preserve">DVT </w:t>
      </w:r>
      <w:proofErr w:type="spellStart"/>
      <w:r w:rsidRPr="00D41C85">
        <w:rPr>
          <w:rFonts w:cs="Arial"/>
          <w:b/>
        </w:rPr>
        <w:t>Otročínský</w:t>
      </w:r>
      <w:proofErr w:type="spellEnd"/>
      <w:r w:rsidRPr="00D41C85">
        <w:rPr>
          <w:rFonts w:cs="Arial"/>
          <w:b/>
        </w:rPr>
        <w:t xml:space="preserve"> potok - </w:t>
      </w:r>
      <w:proofErr w:type="spellStart"/>
      <w:proofErr w:type="gramStart"/>
      <w:r w:rsidRPr="00D41C85">
        <w:rPr>
          <w:rFonts w:cs="Arial"/>
          <w:b/>
        </w:rPr>
        <w:t>II.etapa</w:t>
      </w:r>
      <w:proofErr w:type="spellEnd"/>
      <w:proofErr w:type="gramEnd"/>
      <w:r w:rsidRPr="00D41C85">
        <w:rPr>
          <w:rFonts w:cs="Arial"/>
          <w:b/>
        </w:rPr>
        <w:t xml:space="preserve"> revitalizace</w:t>
      </w:r>
      <w:r w:rsidR="00680069" w:rsidRPr="00F01557">
        <w:rPr>
          <w:rFonts w:cs="Arial"/>
          <w:b/>
        </w:rPr>
        <w:t>– projektová dokumentace</w:t>
      </w:r>
      <w:r w:rsidR="00335EC3">
        <w:rPr>
          <w:rFonts w:cs="Arial"/>
          <w:b/>
        </w:rPr>
        <w:t xml:space="preserve"> (D</w:t>
      </w:r>
      <w:r w:rsidR="00AF1390">
        <w:rPr>
          <w:rFonts w:cs="Arial"/>
          <w:b/>
        </w:rPr>
        <w:t>UR</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1E302228" w:rsidR="00A451E8" w:rsidRPr="00A451E8" w:rsidRDefault="007F7784"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379B10CE"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FE5E25D" w14:textId="52E0721F" w:rsidR="00335EC3" w:rsidRPr="009038A4"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129EBA4" w14:textId="77777777" w:rsidR="00335EC3" w:rsidRPr="009038A4" w:rsidRDefault="009038A4" w:rsidP="00002566">
      <w:pPr>
        <w:tabs>
          <w:tab w:val="left" w:pos="3960"/>
        </w:tabs>
        <w:autoSpaceDE w:val="0"/>
        <w:autoSpaceDN w:val="0"/>
        <w:adjustRightInd w:val="0"/>
        <w:rPr>
          <w:rFonts w:cs="Arial"/>
          <w:color w:val="000000"/>
          <w:szCs w:val="22"/>
        </w:rPr>
      </w:pPr>
      <w:r w:rsidRPr="009038A4">
        <w:rPr>
          <w:rFonts w:cs="Arial"/>
          <w:color w:val="000000"/>
          <w:szCs w:val="22"/>
        </w:rPr>
        <w:t>z</w:t>
      </w:r>
      <w:r w:rsidR="00335EC3" w:rsidRPr="009038A4">
        <w:rPr>
          <w:rFonts w:cs="Arial"/>
          <w:color w:val="000000"/>
          <w:szCs w:val="22"/>
        </w:rPr>
        <w:t xml:space="preserve">ástupce </w:t>
      </w:r>
      <w:r w:rsidR="007856A3">
        <w:rPr>
          <w:rFonts w:cs="Arial"/>
          <w:color w:val="000000"/>
          <w:szCs w:val="22"/>
        </w:rPr>
        <w:t>objednatele:</w:t>
      </w:r>
      <w:r w:rsidR="00335EC3" w:rsidRPr="009038A4">
        <w:rPr>
          <w:rFonts w:cs="Arial"/>
          <w:color w:val="000000"/>
          <w:szCs w:val="22"/>
        </w:rPr>
        <w:t xml:space="preserve">   </w:t>
      </w:r>
    </w:p>
    <w:p w14:paraId="0BBEF6C8" w14:textId="79A444DD" w:rsidR="0053132F" w:rsidRDefault="00335EC3" w:rsidP="0053132F">
      <w:pPr>
        <w:tabs>
          <w:tab w:val="left" w:pos="3960"/>
        </w:tabs>
        <w:autoSpaceDE w:val="0"/>
        <w:autoSpaceDN w:val="0"/>
        <w:adjustRightInd w:val="0"/>
        <w:spacing w:line="300" w:lineRule="atLeast"/>
        <w:rPr>
          <w:rFonts w:cs="Arial"/>
          <w:color w:val="000000"/>
          <w:szCs w:val="22"/>
        </w:rPr>
      </w:pPr>
      <w:r w:rsidRPr="009038A4">
        <w:rPr>
          <w:rFonts w:cs="Arial"/>
          <w:color w:val="000000"/>
          <w:szCs w:val="22"/>
        </w:rPr>
        <w:tab/>
      </w:r>
    </w:p>
    <w:p w14:paraId="2DF2DE54" w14:textId="594802B9" w:rsidR="0053132F" w:rsidRDefault="0053132F" w:rsidP="0053132F">
      <w:pPr>
        <w:tabs>
          <w:tab w:val="left" w:pos="3960"/>
        </w:tabs>
        <w:autoSpaceDE w:val="0"/>
        <w:autoSpaceDN w:val="0"/>
        <w:adjustRightInd w:val="0"/>
        <w:spacing w:line="300" w:lineRule="atLeast"/>
        <w:rPr>
          <w:rStyle w:val="Hypertextovodkaz"/>
          <w:rFonts w:cs="Arial"/>
          <w:szCs w:val="22"/>
        </w:rPr>
      </w:pPr>
    </w:p>
    <w:p w14:paraId="3A9D549D" w14:textId="77777777" w:rsidR="0053132F" w:rsidRDefault="0053132F" w:rsidP="0053132F">
      <w:pPr>
        <w:tabs>
          <w:tab w:val="left" w:pos="3960"/>
        </w:tabs>
        <w:autoSpaceDE w:val="0"/>
        <w:autoSpaceDN w:val="0"/>
        <w:adjustRightInd w:val="0"/>
        <w:spacing w:line="300" w:lineRule="atLeast"/>
        <w:rPr>
          <w:rStyle w:val="Hypertextovodkaz"/>
          <w:rFonts w:cs="Arial"/>
          <w:szCs w:val="22"/>
        </w:rPr>
      </w:pPr>
    </w:p>
    <w:p w14:paraId="13650201" w14:textId="0786ED73" w:rsidR="00AF1390" w:rsidRDefault="00AF1390" w:rsidP="00AF1390">
      <w:pPr>
        <w:tabs>
          <w:tab w:val="left" w:pos="1701"/>
          <w:tab w:val="left" w:pos="4253"/>
        </w:tabs>
        <w:autoSpaceDE w:val="0"/>
        <w:autoSpaceDN w:val="0"/>
        <w:adjustRightInd w:val="0"/>
        <w:ind w:left="3960"/>
        <w:rPr>
          <w:rStyle w:val="Hypertextovodkaz"/>
          <w:rFonts w:cs="Arial"/>
          <w:szCs w:val="22"/>
        </w:rPr>
      </w:pPr>
    </w:p>
    <w:p w14:paraId="0FF5EE2A" w14:textId="6D485A59" w:rsidR="00F639F1" w:rsidRPr="009038A4" w:rsidRDefault="00F639F1" w:rsidP="00AF1390">
      <w:pPr>
        <w:tabs>
          <w:tab w:val="left" w:pos="3960"/>
        </w:tabs>
        <w:autoSpaceDE w:val="0"/>
        <w:autoSpaceDN w:val="0"/>
        <w:adjustRightInd w:val="0"/>
        <w:rPr>
          <w:rStyle w:val="Hypertextovodkaz"/>
          <w:rFonts w:cs="Arial"/>
          <w:szCs w:val="22"/>
        </w:rPr>
      </w:pPr>
    </w:p>
    <w:p w14:paraId="68BE684B" w14:textId="40C3E9F8"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36F3AE41"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2F319AB3" w14:textId="77777777" w:rsidR="007F7784" w:rsidRDefault="007F7784" w:rsidP="00D41C85">
      <w:pPr>
        <w:tabs>
          <w:tab w:val="left" w:pos="3960"/>
        </w:tabs>
        <w:autoSpaceDE w:val="0"/>
        <w:autoSpaceDN w:val="0"/>
        <w:adjustRightInd w:val="0"/>
        <w:spacing w:line="300" w:lineRule="atLeast"/>
        <w:rPr>
          <w:rFonts w:ascii="Arial CE" w:hAnsi="Arial CE" w:cs="Arial"/>
          <w:b/>
          <w:szCs w:val="22"/>
        </w:rPr>
      </w:pPr>
    </w:p>
    <w:p w14:paraId="3CC7B922" w14:textId="5B2ED86C" w:rsidR="00D41C85" w:rsidRPr="00E0004A" w:rsidRDefault="00AF1390" w:rsidP="00D41C85">
      <w:pPr>
        <w:tabs>
          <w:tab w:val="left" w:pos="3960"/>
        </w:tabs>
        <w:autoSpaceDE w:val="0"/>
        <w:autoSpaceDN w:val="0"/>
        <w:adjustRightInd w:val="0"/>
        <w:spacing w:line="300" w:lineRule="atLeast"/>
        <w:rPr>
          <w:rFonts w:cs="Arial"/>
          <w:bCs/>
          <w:color w:val="000000"/>
          <w:szCs w:val="22"/>
        </w:rPr>
      </w:pPr>
      <w:r>
        <w:rPr>
          <w:rFonts w:ascii="Arial CE" w:hAnsi="Arial CE" w:cs="Arial"/>
          <w:b/>
          <w:szCs w:val="22"/>
        </w:rPr>
        <w:t>Zhotovitel</w:t>
      </w:r>
      <w:r w:rsidRPr="00F33A55">
        <w:rPr>
          <w:rFonts w:ascii="Arial CE" w:hAnsi="Arial CE" w:cs="Arial"/>
          <w:b/>
          <w:szCs w:val="22"/>
        </w:rPr>
        <w:t>:</w:t>
      </w:r>
      <w:r>
        <w:rPr>
          <w:rFonts w:cs="Arial"/>
          <w:b/>
          <w:bCs/>
          <w:color w:val="000000"/>
          <w:szCs w:val="22"/>
        </w:rPr>
        <w:tab/>
      </w:r>
      <w:r w:rsidR="00D41C85">
        <w:rPr>
          <w:rFonts w:cs="Arial"/>
          <w:b/>
          <w:bCs/>
          <w:color w:val="000000"/>
          <w:szCs w:val="22"/>
        </w:rPr>
        <w:t>KV+MV AQUA, spol. s r. o.</w:t>
      </w:r>
    </w:p>
    <w:p w14:paraId="551614FB" w14:textId="77777777" w:rsidR="00D41C85" w:rsidRPr="00E0004A" w:rsidRDefault="00D41C85" w:rsidP="00D41C85">
      <w:pPr>
        <w:tabs>
          <w:tab w:val="left" w:pos="3960"/>
        </w:tabs>
        <w:autoSpaceDE w:val="0"/>
        <w:autoSpaceDN w:val="0"/>
        <w:adjustRightInd w:val="0"/>
        <w:spacing w:line="300" w:lineRule="atLeast"/>
        <w:rPr>
          <w:rFonts w:cs="Arial"/>
          <w:b/>
          <w:bCs/>
          <w:color w:val="000000"/>
          <w:szCs w:val="22"/>
        </w:rPr>
      </w:pPr>
      <w:r w:rsidRPr="00E0004A">
        <w:rPr>
          <w:rFonts w:cs="Arial"/>
          <w:bCs/>
          <w:color w:val="000000"/>
          <w:szCs w:val="22"/>
        </w:rPr>
        <w:tab/>
      </w:r>
      <w:r>
        <w:rPr>
          <w:rFonts w:cs="Arial"/>
          <w:bCs/>
          <w:color w:val="000000"/>
          <w:szCs w:val="22"/>
        </w:rPr>
        <w:t>Dominova 2463/15, 158 00, Praha 5</w:t>
      </w:r>
    </w:p>
    <w:p w14:paraId="4B2FD3E6" w14:textId="77777777" w:rsidR="00D41C85" w:rsidRPr="00065603" w:rsidRDefault="00D41C85" w:rsidP="00D41C85">
      <w:pPr>
        <w:tabs>
          <w:tab w:val="left" w:pos="3960"/>
        </w:tabs>
        <w:autoSpaceDE w:val="0"/>
        <w:autoSpaceDN w:val="0"/>
        <w:adjustRightInd w:val="0"/>
        <w:spacing w:line="300" w:lineRule="atLeast"/>
        <w:rPr>
          <w:rFonts w:cs="Arial"/>
          <w:color w:val="000000"/>
          <w:szCs w:val="22"/>
        </w:rPr>
      </w:pPr>
      <w:r w:rsidRPr="00755ACF">
        <w:rPr>
          <w:rFonts w:cs="Arial"/>
          <w:b/>
          <w:color w:val="000000"/>
          <w:szCs w:val="22"/>
        </w:rPr>
        <w:t>IČ:</w:t>
      </w:r>
      <w:r w:rsidRPr="00065603">
        <w:rPr>
          <w:rFonts w:cs="Arial"/>
          <w:szCs w:val="22"/>
        </w:rPr>
        <w:t xml:space="preserve"> </w:t>
      </w:r>
      <w:r>
        <w:rPr>
          <w:rFonts w:cs="Arial"/>
          <w:szCs w:val="22"/>
        </w:rPr>
        <w:tab/>
      </w:r>
      <w:r w:rsidRPr="00065603">
        <w:rPr>
          <w:rFonts w:cs="Arial"/>
          <w:szCs w:val="22"/>
        </w:rPr>
        <w:t>256 84 566</w:t>
      </w:r>
      <w:r w:rsidRPr="00065603">
        <w:rPr>
          <w:rFonts w:cs="Arial"/>
          <w:color w:val="000000"/>
          <w:szCs w:val="22"/>
        </w:rPr>
        <w:tab/>
      </w:r>
    </w:p>
    <w:p w14:paraId="04E0FBEB" w14:textId="77777777" w:rsidR="00D41C85" w:rsidRPr="00065603" w:rsidRDefault="00D41C85" w:rsidP="00D41C85">
      <w:pPr>
        <w:tabs>
          <w:tab w:val="left" w:pos="3960"/>
        </w:tabs>
        <w:autoSpaceDE w:val="0"/>
        <w:autoSpaceDN w:val="0"/>
        <w:adjustRightInd w:val="0"/>
        <w:spacing w:line="300" w:lineRule="atLeast"/>
        <w:rPr>
          <w:rFonts w:cs="Arial"/>
          <w:color w:val="000000"/>
          <w:szCs w:val="22"/>
        </w:rPr>
      </w:pPr>
      <w:r w:rsidRPr="00755ACF">
        <w:rPr>
          <w:rFonts w:cs="Arial"/>
          <w:b/>
          <w:color w:val="000000"/>
          <w:szCs w:val="22"/>
        </w:rPr>
        <w:t>DIČ:</w:t>
      </w:r>
      <w:r w:rsidRPr="00065603">
        <w:rPr>
          <w:rFonts w:cs="Arial"/>
          <w:color w:val="000000"/>
          <w:szCs w:val="22"/>
        </w:rPr>
        <w:t xml:space="preserve"> </w:t>
      </w:r>
      <w:r>
        <w:rPr>
          <w:rFonts w:cs="Arial"/>
          <w:color w:val="000000"/>
          <w:szCs w:val="22"/>
        </w:rPr>
        <w:tab/>
      </w:r>
      <w:r w:rsidRPr="00065603">
        <w:rPr>
          <w:rFonts w:cs="Arial"/>
          <w:color w:val="000000"/>
          <w:szCs w:val="22"/>
        </w:rPr>
        <w:t>CZ 256 84 566</w:t>
      </w:r>
      <w:r w:rsidRPr="00065603">
        <w:rPr>
          <w:rFonts w:cs="Arial"/>
          <w:color w:val="000000"/>
          <w:szCs w:val="22"/>
        </w:rPr>
        <w:tab/>
      </w:r>
      <w:r w:rsidRPr="00065603">
        <w:rPr>
          <w:rFonts w:cs="Arial"/>
          <w:color w:val="000000"/>
          <w:szCs w:val="22"/>
        </w:rPr>
        <w:tab/>
      </w:r>
    </w:p>
    <w:p w14:paraId="462D2649" w14:textId="3D70C150" w:rsidR="00D41C85" w:rsidRPr="004F5686" w:rsidRDefault="00D41C85" w:rsidP="00D41C85">
      <w:pPr>
        <w:tabs>
          <w:tab w:val="left" w:pos="3960"/>
        </w:tabs>
        <w:autoSpaceDE w:val="0"/>
        <w:autoSpaceDN w:val="0"/>
        <w:adjustRightInd w:val="0"/>
        <w:spacing w:line="300" w:lineRule="atLeast"/>
        <w:rPr>
          <w:rFonts w:cs="Arial"/>
          <w:szCs w:val="22"/>
        </w:rPr>
      </w:pPr>
      <w:r w:rsidRPr="00755ACF">
        <w:rPr>
          <w:rFonts w:cs="Arial"/>
          <w:b/>
          <w:color w:val="000000"/>
          <w:szCs w:val="22"/>
        </w:rPr>
        <w:t>zastoupený:</w:t>
      </w:r>
      <w:r w:rsidRPr="00065603">
        <w:rPr>
          <w:rFonts w:cs="Arial"/>
          <w:color w:val="000000"/>
          <w:szCs w:val="22"/>
        </w:rPr>
        <w:t xml:space="preserve"> </w:t>
      </w:r>
      <w:r w:rsidRPr="004F5686">
        <w:rPr>
          <w:rFonts w:cs="Arial"/>
          <w:szCs w:val="22"/>
        </w:rPr>
        <w:tab/>
        <w:t xml:space="preserve"> </w:t>
      </w:r>
    </w:p>
    <w:p w14:paraId="4D229609" w14:textId="29B501C4" w:rsidR="00D41C85" w:rsidRPr="004F5686" w:rsidRDefault="00D41C85" w:rsidP="00D41C85">
      <w:pPr>
        <w:tabs>
          <w:tab w:val="left" w:pos="3960"/>
        </w:tabs>
        <w:autoSpaceDE w:val="0"/>
        <w:autoSpaceDN w:val="0"/>
        <w:adjustRightInd w:val="0"/>
        <w:spacing w:line="300" w:lineRule="atLeast"/>
        <w:rPr>
          <w:rFonts w:cs="Arial"/>
          <w:szCs w:val="22"/>
        </w:rPr>
      </w:pPr>
      <w:r w:rsidRPr="004F5686">
        <w:rPr>
          <w:rFonts w:cs="Arial"/>
          <w:b/>
          <w:szCs w:val="22"/>
        </w:rPr>
        <w:t>mobil:</w:t>
      </w:r>
      <w:r w:rsidRPr="004F5686">
        <w:rPr>
          <w:rFonts w:cs="Arial"/>
          <w:szCs w:val="22"/>
        </w:rPr>
        <w:t xml:space="preserve"> </w:t>
      </w:r>
      <w:r w:rsidRPr="004F5686">
        <w:rPr>
          <w:rFonts w:cs="Arial"/>
          <w:szCs w:val="22"/>
        </w:rPr>
        <w:tab/>
      </w:r>
    </w:p>
    <w:p w14:paraId="42E2B71A" w14:textId="20117EAB" w:rsidR="00D41C85" w:rsidRPr="004F5686" w:rsidRDefault="00D41C85" w:rsidP="00D41C85">
      <w:pPr>
        <w:tabs>
          <w:tab w:val="left" w:pos="3960"/>
        </w:tabs>
        <w:autoSpaceDE w:val="0"/>
        <w:autoSpaceDN w:val="0"/>
        <w:adjustRightInd w:val="0"/>
        <w:spacing w:line="300" w:lineRule="atLeast"/>
        <w:rPr>
          <w:rFonts w:cs="Arial"/>
          <w:szCs w:val="22"/>
        </w:rPr>
      </w:pPr>
      <w:r w:rsidRPr="004F5686">
        <w:rPr>
          <w:rFonts w:cs="Arial"/>
          <w:b/>
          <w:szCs w:val="22"/>
        </w:rPr>
        <w:t>e-mail:</w:t>
      </w:r>
      <w:r w:rsidRPr="004F5686">
        <w:rPr>
          <w:rFonts w:cs="Arial"/>
          <w:szCs w:val="22"/>
        </w:rPr>
        <w:t xml:space="preserve"> </w:t>
      </w:r>
      <w:r w:rsidRPr="004F5686">
        <w:rPr>
          <w:rFonts w:cs="Arial"/>
          <w:szCs w:val="22"/>
        </w:rPr>
        <w:tab/>
      </w:r>
      <w:r w:rsidRPr="004F5686">
        <w:rPr>
          <w:rFonts w:cs="Arial"/>
          <w:szCs w:val="22"/>
        </w:rPr>
        <w:tab/>
      </w:r>
    </w:p>
    <w:p w14:paraId="0E974680" w14:textId="77777777" w:rsidR="00D41C85" w:rsidRPr="004F5686" w:rsidRDefault="00D41C85" w:rsidP="00D41C85">
      <w:pPr>
        <w:tabs>
          <w:tab w:val="left" w:pos="3960"/>
        </w:tabs>
        <w:autoSpaceDE w:val="0"/>
        <w:autoSpaceDN w:val="0"/>
        <w:adjustRightInd w:val="0"/>
        <w:spacing w:line="300" w:lineRule="atLeast"/>
        <w:rPr>
          <w:rFonts w:cs="Arial"/>
          <w:szCs w:val="22"/>
        </w:rPr>
      </w:pPr>
    </w:p>
    <w:p w14:paraId="5C785F1C" w14:textId="5DCD028D" w:rsidR="00D41C85" w:rsidRPr="004F5686" w:rsidRDefault="00D41C85" w:rsidP="00D41C85">
      <w:pPr>
        <w:tabs>
          <w:tab w:val="left" w:pos="3960"/>
        </w:tabs>
        <w:autoSpaceDE w:val="0"/>
        <w:autoSpaceDN w:val="0"/>
        <w:adjustRightInd w:val="0"/>
        <w:spacing w:line="300" w:lineRule="atLeast"/>
        <w:rPr>
          <w:rFonts w:cs="Arial"/>
          <w:szCs w:val="22"/>
        </w:rPr>
      </w:pPr>
      <w:r w:rsidRPr="004F5686">
        <w:rPr>
          <w:rFonts w:cs="Arial"/>
          <w:b/>
          <w:szCs w:val="22"/>
        </w:rPr>
        <w:t>Bankovní spojení:</w:t>
      </w:r>
      <w:r w:rsidRPr="004F5686">
        <w:rPr>
          <w:rFonts w:cs="Arial"/>
          <w:szCs w:val="22"/>
        </w:rPr>
        <w:t xml:space="preserve"> </w:t>
      </w:r>
      <w:r w:rsidRPr="004F5686">
        <w:rPr>
          <w:rFonts w:cs="Arial"/>
          <w:szCs w:val="22"/>
        </w:rPr>
        <w:tab/>
      </w:r>
      <w:r w:rsidRPr="004F5686">
        <w:rPr>
          <w:rFonts w:cs="Arial"/>
          <w:szCs w:val="22"/>
        </w:rPr>
        <w:tab/>
      </w:r>
      <w:r w:rsidRPr="004F5686">
        <w:rPr>
          <w:rFonts w:cs="Arial"/>
          <w:szCs w:val="22"/>
        </w:rPr>
        <w:tab/>
      </w:r>
    </w:p>
    <w:p w14:paraId="10E5A15F" w14:textId="1CE7BF8E" w:rsidR="00D41C85" w:rsidRPr="00065603" w:rsidRDefault="00D41C85" w:rsidP="00D41C85">
      <w:pPr>
        <w:tabs>
          <w:tab w:val="left" w:pos="3960"/>
        </w:tabs>
        <w:autoSpaceDE w:val="0"/>
        <w:autoSpaceDN w:val="0"/>
        <w:adjustRightInd w:val="0"/>
        <w:spacing w:line="300" w:lineRule="atLeast"/>
        <w:rPr>
          <w:rFonts w:cs="Arial"/>
          <w:color w:val="000000"/>
          <w:szCs w:val="22"/>
        </w:rPr>
      </w:pPr>
      <w:r w:rsidRPr="00755ACF">
        <w:rPr>
          <w:rFonts w:cs="Arial"/>
          <w:b/>
          <w:color w:val="000000"/>
          <w:szCs w:val="22"/>
        </w:rPr>
        <w:t>číslo účtu:</w:t>
      </w:r>
      <w:r w:rsidRPr="00065603">
        <w:rPr>
          <w:rFonts w:cs="Arial"/>
          <w:color w:val="000000"/>
          <w:szCs w:val="22"/>
        </w:rPr>
        <w:t xml:space="preserve"> </w:t>
      </w:r>
      <w:r>
        <w:rPr>
          <w:rFonts w:cs="Arial"/>
          <w:color w:val="000000"/>
          <w:szCs w:val="22"/>
        </w:rPr>
        <w:tab/>
      </w:r>
      <w:r w:rsidRPr="00065603">
        <w:rPr>
          <w:rFonts w:cs="Arial"/>
          <w:color w:val="000000"/>
          <w:szCs w:val="22"/>
        </w:rPr>
        <w:tab/>
      </w:r>
    </w:p>
    <w:p w14:paraId="546C7813" w14:textId="77777777" w:rsidR="00D41C85" w:rsidRDefault="00D41C85" w:rsidP="00D41C85">
      <w:pPr>
        <w:pStyle w:val="Zkladntextodsazen"/>
        <w:spacing w:after="0" w:line="300" w:lineRule="atLeast"/>
        <w:ind w:left="0"/>
        <w:rPr>
          <w:rFonts w:ascii="Arial" w:hAnsi="Arial" w:cs="Arial"/>
          <w:sz w:val="22"/>
          <w:szCs w:val="22"/>
        </w:rPr>
      </w:pPr>
    </w:p>
    <w:p w14:paraId="60476471" w14:textId="77777777" w:rsidR="00D41C85" w:rsidRPr="00065603" w:rsidRDefault="00D41C85" w:rsidP="00D41C85">
      <w:pPr>
        <w:pStyle w:val="Zkladntextodsazen"/>
        <w:spacing w:after="0" w:line="300" w:lineRule="atLeast"/>
        <w:ind w:left="0"/>
        <w:rPr>
          <w:rFonts w:ascii="Arial" w:hAnsi="Arial" w:cs="Arial"/>
          <w:sz w:val="22"/>
          <w:szCs w:val="22"/>
        </w:rPr>
      </w:pPr>
      <w:r w:rsidRPr="00065603">
        <w:rPr>
          <w:rFonts w:ascii="Arial" w:hAnsi="Arial" w:cs="Arial"/>
          <w:sz w:val="22"/>
          <w:szCs w:val="22"/>
        </w:rPr>
        <w:t xml:space="preserve">Firma je zapsána u Městského soudu v Praze, oddíl C, vložka 60982 </w:t>
      </w:r>
    </w:p>
    <w:p w14:paraId="2DE52057" w14:textId="77777777" w:rsidR="00D41C85" w:rsidRPr="001D7A19" w:rsidRDefault="00D41C85" w:rsidP="00D41C85">
      <w:pPr>
        <w:widowControl w:val="0"/>
        <w:rPr>
          <w:rFonts w:ascii="Arial CE" w:hAnsi="Arial CE" w:cs="Arial"/>
          <w:color w:val="000000"/>
          <w:szCs w:val="22"/>
        </w:rPr>
      </w:pPr>
      <w:r w:rsidRPr="001D7A19">
        <w:rPr>
          <w:rFonts w:ascii="Arial CE" w:hAnsi="Arial CE" w:cs="Arial"/>
          <w:szCs w:val="22"/>
        </w:rPr>
        <w:t xml:space="preserve"> (dále jen „</w:t>
      </w:r>
      <w:r>
        <w:rPr>
          <w:rFonts w:ascii="Arial CE" w:hAnsi="Arial CE" w:cs="Arial"/>
          <w:szCs w:val="22"/>
        </w:rPr>
        <w:t>dodavatel</w:t>
      </w:r>
      <w:r w:rsidRPr="001D7A19">
        <w:rPr>
          <w:rFonts w:ascii="Arial CE" w:hAnsi="Arial CE" w:cs="Arial"/>
          <w:szCs w:val="22"/>
        </w:rPr>
        <w:t>“) na straně druhé.</w:t>
      </w:r>
    </w:p>
    <w:p w14:paraId="3EAD70E2" w14:textId="1ED067B8" w:rsidR="007F7784" w:rsidRDefault="007F7784" w:rsidP="00D41C85">
      <w:pPr>
        <w:spacing w:line="300" w:lineRule="atLeast"/>
        <w:rPr>
          <w:rFonts w:cs="Arial"/>
          <w:bCs/>
          <w:iCs/>
          <w:color w:val="000000"/>
          <w:szCs w:val="22"/>
        </w:rPr>
      </w:pPr>
    </w:p>
    <w:p w14:paraId="3C27BA9C" w14:textId="01AC6662" w:rsidR="007F7784" w:rsidRDefault="007F7784" w:rsidP="00D41C85">
      <w:pPr>
        <w:spacing w:line="300" w:lineRule="atLeast"/>
        <w:rPr>
          <w:rFonts w:cs="Arial"/>
          <w:bCs/>
          <w:iCs/>
          <w:color w:val="000000"/>
          <w:szCs w:val="22"/>
        </w:rPr>
      </w:pPr>
    </w:p>
    <w:p w14:paraId="4DE06F21" w14:textId="3614214E" w:rsidR="0053132F" w:rsidRDefault="0053132F" w:rsidP="00D41C85">
      <w:pPr>
        <w:spacing w:line="300" w:lineRule="atLeast"/>
        <w:rPr>
          <w:rFonts w:cs="Arial"/>
          <w:bCs/>
          <w:iCs/>
          <w:color w:val="000000"/>
          <w:szCs w:val="22"/>
        </w:rPr>
      </w:pPr>
    </w:p>
    <w:p w14:paraId="3D4E6F6C" w14:textId="77777777" w:rsidR="0053132F" w:rsidRDefault="0053132F" w:rsidP="00D41C85">
      <w:pPr>
        <w:spacing w:line="300" w:lineRule="atLeast"/>
        <w:rPr>
          <w:rFonts w:cs="Arial"/>
          <w:bCs/>
          <w:iCs/>
          <w:color w:val="000000"/>
          <w:szCs w:val="22"/>
        </w:rPr>
      </w:pPr>
    </w:p>
    <w:p w14:paraId="024D5ABB" w14:textId="0FDA3E8A" w:rsidR="00680069"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429DEB6E" w14:textId="77777777" w:rsidR="009D12DE" w:rsidRPr="007317EB" w:rsidRDefault="009D12DE" w:rsidP="001251EF">
      <w:pPr>
        <w:pStyle w:val="Zkladntext"/>
        <w:spacing w:before="120"/>
        <w:jc w:val="center"/>
        <w:textAlignment w:val="baseline"/>
        <w:outlineLvl w:val="0"/>
        <w:rPr>
          <w:rFonts w:ascii="Arial CE" w:hAnsi="Arial CE"/>
          <w:b/>
          <w:color w:val="000000"/>
        </w:rPr>
      </w:pPr>
    </w:p>
    <w:p w14:paraId="4796937D" w14:textId="77777777" w:rsidR="009D12DE" w:rsidRDefault="009D12DE" w:rsidP="009D12DE">
      <w:pPr>
        <w:pStyle w:val="A-odstavecodsazensodrkami"/>
        <w:keepNext/>
        <w:numPr>
          <w:ilvl w:val="0"/>
          <w:numId w:val="0"/>
        </w:numPr>
        <w:rPr>
          <w:bCs/>
        </w:rPr>
      </w:pPr>
      <w:bookmarkStart w:id="0" w:name="_Hlk74549318"/>
      <w:r w:rsidRPr="00EE4014">
        <w:rPr>
          <w:bCs/>
        </w:rPr>
        <w:t>Předmětem veřejné zakázky je zpracování projektové dokumentace</w:t>
      </w:r>
      <w:r>
        <w:rPr>
          <w:bCs/>
        </w:rPr>
        <w:t xml:space="preserve"> </w:t>
      </w:r>
      <w:r w:rsidRPr="00EE4014">
        <w:rPr>
          <w:bCs/>
        </w:rPr>
        <w:t xml:space="preserve">pro </w:t>
      </w:r>
      <w:r>
        <w:rPr>
          <w:bCs/>
        </w:rPr>
        <w:t xml:space="preserve">územní </w:t>
      </w:r>
      <w:proofErr w:type="gramStart"/>
      <w:r>
        <w:rPr>
          <w:bCs/>
        </w:rPr>
        <w:t xml:space="preserve">řízení </w:t>
      </w:r>
      <w:r w:rsidRPr="00EE4014">
        <w:rPr>
          <w:lang w:val="en-US"/>
        </w:rPr>
        <w:t xml:space="preserve"> </w:t>
      </w:r>
      <w:r w:rsidRPr="00EE4014">
        <w:t>uvedené</w:t>
      </w:r>
      <w:proofErr w:type="gramEnd"/>
      <w:r w:rsidRPr="00EE4014">
        <w:rPr>
          <w:lang w:val="en-US"/>
        </w:rPr>
        <w:t xml:space="preserve"> v §</w:t>
      </w:r>
      <w:r>
        <w:rPr>
          <w:lang w:val="en-US"/>
        </w:rPr>
        <w:t xml:space="preserve"> 78</w:t>
      </w:r>
      <w:r w:rsidRPr="00EE4014">
        <w:rPr>
          <w:lang w:val="en-US"/>
        </w:rPr>
        <w:t xml:space="preserve"> </w:t>
      </w:r>
      <w:r w:rsidRPr="00EE4014">
        <w:t>stavebního</w:t>
      </w:r>
      <w:r w:rsidRPr="00EE4014">
        <w:rPr>
          <w:lang w:val="en-US"/>
        </w:rPr>
        <w:t xml:space="preserve"> </w:t>
      </w:r>
      <w:r w:rsidRPr="00EE4014">
        <w:t>zákona</w:t>
      </w:r>
      <w:r w:rsidRPr="00EE4014">
        <w:rPr>
          <w:lang w:val="en-US"/>
        </w:rPr>
        <w:t xml:space="preserve"> </w:t>
      </w:r>
      <w:r w:rsidRPr="00EE4014">
        <w:rPr>
          <w:bCs/>
        </w:rPr>
        <w:t>(D</w:t>
      </w:r>
      <w:r>
        <w:rPr>
          <w:bCs/>
        </w:rPr>
        <w:t>UR</w:t>
      </w:r>
      <w:r w:rsidRPr="00EE4014">
        <w:rPr>
          <w:bCs/>
        </w:rPr>
        <w:t>) včetně</w:t>
      </w:r>
      <w:r>
        <w:rPr>
          <w:bCs/>
        </w:rPr>
        <w:t xml:space="preserve"> geodetického zaměření,</w:t>
      </w:r>
      <w:r w:rsidRPr="00EE4014">
        <w:rPr>
          <w:bCs/>
        </w:rPr>
        <w:t xml:space="preserve"> dokladové části, </w:t>
      </w:r>
      <w:r>
        <w:rPr>
          <w:bCs/>
        </w:rPr>
        <w:t>zpracování odhadu investičních nákladů stavby</w:t>
      </w:r>
      <w:r w:rsidRPr="00EE4014">
        <w:rPr>
          <w:bCs/>
        </w:rPr>
        <w:t>.</w:t>
      </w:r>
    </w:p>
    <w:p w14:paraId="76A50CA8" w14:textId="77777777" w:rsidR="009D12DE" w:rsidRDefault="009D12DE" w:rsidP="009D12DE">
      <w:pPr>
        <w:pStyle w:val="A-odstavecodsazensodrkami"/>
        <w:keepNext/>
        <w:numPr>
          <w:ilvl w:val="0"/>
          <w:numId w:val="0"/>
        </w:numPr>
        <w:rPr>
          <w:bCs/>
        </w:rPr>
      </w:pPr>
    </w:p>
    <w:p w14:paraId="25E71139" w14:textId="77777777" w:rsidR="00680069" w:rsidRPr="00D52716" w:rsidRDefault="00680069" w:rsidP="00680069">
      <w:pPr>
        <w:pStyle w:val="A-odstavecodsazensodrkami"/>
        <w:keepNext/>
        <w:numPr>
          <w:ilvl w:val="0"/>
          <w:numId w:val="0"/>
        </w:numPr>
        <w:rPr>
          <w:rFonts w:ascii="Arial CE" w:hAnsi="Arial CE"/>
          <w:color w:val="000000"/>
        </w:rPr>
      </w:pPr>
      <w:r w:rsidRPr="00D52716">
        <w:rPr>
          <w:rFonts w:ascii="Arial CE" w:hAnsi="Arial CE"/>
          <w:bCs/>
          <w:color w:val="000000"/>
        </w:rPr>
        <w:t>Předmětem smlouvy je zpracování a zajištění:</w:t>
      </w:r>
    </w:p>
    <w:p w14:paraId="2C8C6D48" w14:textId="77777777" w:rsidR="00680069" w:rsidRPr="00D52716" w:rsidRDefault="00680069" w:rsidP="00680069">
      <w:pPr>
        <w:rPr>
          <w:rFonts w:ascii="Arial CE" w:hAnsi="Arial CE" w:cs="Arial"/>
          <w:b/>
          <w:szCs w:val="22"/>
          <w:u w:val="single"/>
        </w:rPr>
      </w:pPr>
    </w:p>
    <w:p w14:paraId="3D3DEA00" w14:textId="4CDD36D9" w:rsidR="009D12DE" w:rsidRPr="00D52716" w:rsidRDefault="009D12DE" w:rsidP="009D12DE">
      <w:pPr>
        <w:autoSpaceDE w:val="0"/>
        <w:autoSpaceDN w:val="0"/>
        <w:adjustRightInd w:val="0"/>
        <w:jc w:val="left"/>
        <w:rPr>
          <w:rFonts w:ascii="Arial CE" w:hAnsi="Arial CE" w:cs="Arial"/>
          <w:szCs w:val="22"/>
        </w:rPr>
      </w:pPr>
      <w:r w:rsidRPr="00D52716">
        <w:rPr>
          <w:rFonts w:ascii="Arial CE" w:hAnsi="Arial CE" w:cs="Arial"/>
          <w:szCs w:val="22"/>
        </w:rPr>
        <w:t xml:space="preserve">projektové dokumentace rekonstrukce </w:t>
      </w:r>
      <w:r w:rsidR="00D41C85">
        <w:rPr>
          <w:rFonts w:ascii="Arial CE" w:hAnsi="Arial CE" w:cs="Arial"/>
          <w:szCs w:val="22"/>
        </w:rPr>
        <w:t xml:space="preserve">revitalizace </w:t>
      </w:r>
      <w:proofErr w:type="spellStart"/>
      <w:r w:rsidR="00D41C85" w:rsidRPr="00D41C85">
        <w:rPr>
          <w:rFonts w:ascii="Arial CE" w:hAnsi="Arial CE" w:cs="Arial"/>
          <w:szCs w:val="22"/>
        </w:rPr>
        <w:t>Otročínsk</w:t>
      </w:r>
      <w:r w:rsidR="00D41C85">
        <w:rPr>
          <w:rFonts w:ascii="Arial CE" w:hAnsi="Arial CE" w:cs="Arial"/>
          <w:szCs w:val="22"/>
        </w:rPr>
        <w:t>ého</w:t>
      </w:r>
      <w:proofErr w:type="spellEnd"/>
      <w:r w:rsidR="00D41C85">
        <w:rPr>
          <w:rFonts w:ascii="Arial CE" w:hAnsi="Arial CE" w:cs="Arial"/>
          <w:szCs w:val="22"/>
        </w:rPr>
        <w:t xml:space="preserve"> potoka </w:t>
      </w:r>
      <w:r w:rsidR="00D41C85" w:rsidRPr="00D41C85">
        <w:rPr>
          <w:rFonts w:ascii="Arial CE" w:hAnsi="Arial CE" w:cs="Arial"/>
          <w:szCs w:val="22"/>
        </w:rPr>
        <w:t xml:space="preserve">- </w:t>
      </w:r>
      <w:proofErr w:type="spellStart"/>
      <w:proofErr w:type="gramStart"/>
      <w:r w:rsidR="00D41C85" w:rsidRPr="00D41C85">
        <w:rPr>
          <w:rFonts w:ascii="Arial CE" w:hAnsi="Arial CE" w:cs="Arial"/>
          <w:szCs w:val="22"/>
        </w:rPr>
        <w:t>II.etapa</w:t>
      </w:r>
      <w:proofErr w:type="spellEnd"/>
      <w:proofErr w:type="gramEnd"/>
      <w:r w:rsidR="00D41C85">
        <w:rPr>
          <w:rFonts w:ascii="Arial CE" w:hAnsi="Arial CE" w:cs="Arial"/>
          <w:szCs w:val="22"/>
        </w:rPr>
        <w:t xml:space="preserve">. </w:t>
      </w:r>
      <w:r w:rsidRPr="00D52716">
        <w:rPr>
          <w:rFonts w:ascii="Arial CE" w:hAnsi="Arial CE" w:cs="Arial"/>
          <w:szCs w:val="22"/>
        </w:rPr>
        <w:t>v rozsahu DUR</w:t>
      </w:r>
      <w:r w:rsidR="00D41C85">
        <w:rPr>
          <w:rFonts w:ascii="Arial CE" w:hAnsi="Arial CE" w:cs="Arial"/>
          <w:szCs w:val="22"/>
        </w:rPr>
        <w:t>.</w:t>
      </w:r>
      <w:r w:rsidRPr="00D52716">
        <w:rPr>
          <w:rFonts w:ascii="Arial CE" w:hAnsi="Arial CE" w:cs="Arial"/>
          <w:szCs w:val="22"/>
        </w:rPr>
        <w:t xml:space="preserve"> </w:t>
      </w:r>
    </w:p>
    <w:bookmarkEnd w:id="0"/>
    <w:p w14:paraId="363FFB77" w14:textId="4F9ECD0F" w:rsidR="009D12DE" w:rsidRPr="00D52716" w:rsidRDefault="009D12DE" w:rsidP="009D12DE">
      <w:pPr>
        <w:autoSpaceDE w:val="0"/>
        <w:autoSpaceDN w:val="0"/>
        <w:adjustRightInd w:val="0"/>
        <w:jc w:val="left"/>
        <w:rPr>
          <w:rFonts w:ascii="Arial CE" w:hAnsi="Arial CE" w:cs="Arial"/>
          <w:szCs w:val="22"/>
        </w:rPr>
      </w:pPr>
    </w:p>
    <w:p w14:paraId="7658E410" w14:textId="77777777" w:rsidR="00D41C85" w:rsidRPr="00D41C85" w:rsidRDefault="00D41C85" w:rsidP="00D52716">
      <w:pPr>
        <w:pStyle w:val="Default"/>
        <w:jc w:val="both"/>
        <w:rPr>
          <w:rFonts w:ascii="Arial CE" w:hAnsi="Arial CE" w:cs="Helv"/>
          <w:bCs/>
          <w:sz w:val="22"/>
          <w:szCs w:val="22"/>
        </w:rPr>
      </w:pPr>
      <w:r w:rsidRPr="00D41C85">
        <w:rPr>
          <w:rFonts w:ascii="Arial CE" w:hAnsi="Arial CE" w:cs="Helv"/>
          <w:bCs/>
          <w:sz w:val="22"/>
          <w:szCs w:val="22"/>
        </w:rPr>
        <w:t xml:space="preserve">Požadujeme provedení revitalizace </w:t>
      </w:r>
      <w:proofErr w:type="spellStart"/>
      <w:r w:rsidRPr="00D41C85">
        <w:rPr>
          <w:rFonts w:ascii="Arial CE" w:hAnsi="Arial CE" w:cs="Helv"/>
          <w:bCs/>
          <w:sz w:val="22"/>
          <w:szCs w:val="22"/>
        </w:rPr>
        <w:t>Otročínského</w:t>
      </w:r>
      <w:proofErr w:type="spellEnd"/>
      <w:r w:rsidRPr="00D41C85">
        <w:rPr>
          <w:rFonts w:ascii="Arial CE" w:hAnsi="Arial CE" w:cs="Helv"/>
          <w:bCs/>
          <w:sz w:val="22"/>
          <w:szCs w:val="22"/>
        </w:rPr>
        <w:t xml:space="preserve"> potoka v délce cca 550 </w:t>
      </w:r>
      <w:proofErr w:type="spellStart"/>
      <w:r w:rsidRPr="00D41C85">
        <w:rPr>
          <w:rFonts w:ascii="Arial CE" w:hAnsi="Arial CE" w:cs="Helv"/>
          <w:bCs/>
          <w:sz w:val="22"/>
          <w:szCs w:val="22"/>
        </w:rPr>
        <w:t>bm</w:t>
      </w:r>
      <w:proofErr w:type="spellEnd"/>
      <w:r w:rsidRPr="00D41C85">
        <w:rPr>
          <w:rFonts w:ascii="Arial CE" w:hAnsi="Arial CE" w:cs="Helv"/>
          <w:bCs/>
          <w:sz w:val="22"/>
          <w:szCs w:val="22"/>
        </w:rPr>
        <w:t xml:space="preserve">. Tato část revitalizace přímo navazuje na dříve ukončenou I. etapu v ř.km 9,080 a pokračuje k silničnímu mostu </w:t>
      </w:r>
      <w:proofErr w:type="gramStart"/>
      <w:r w:rsidRPr="00D41C85">
        <w:rPr>
          <w:rFonts w:ascii="Arial CE" w:hAnsi="Arial CE" w:cs="Helv"/>
          <w:bCs/>
          <w:sz w:val="22"/>
          <w:szCs w:val="22"/>
        </w:rPr>
        <w:t>Otročín - Poseč</w:t>
      </w:r>
      <w:proofErr w:type="gramEnd"/>
      <w:r w:rsidRPr="00D41C85">
        <w:rPr>
          <w:rFonts w:ascii="Arial CE" w:hAnsi="Arial CE" w:cs="Helv"/>
          <w:bCs/>
          <w:sz w:val="22"/>
          <w:szCs w:val="22"/>
        </w:rPr>
        <w:t xml:space="preserve"> v ř.km 8,53. </w:t>
      </w:r>
    </w:p>
    <w:p w14:paraId="780AAFD4" w14:textId="77777777" w:rsidR="00D41C85" w:rsidRPr="00D41C85" w:rsidRDefault="00D41C85" w:rsidP="00D52716">
      <w:pPr>
        <w:pStyle w:val="Default"/>
        <w:jc w:val="both"/>
        <w:rPr>
          <w:rFonts w:ascii="Arial CE" w:hAnsi="Arial CE" w:cs="Helv"/>
          <w:bCs/>
          <w:sz w:val="22"/>
          <w:szCs w:val="22"/>
        </w:rPr>
      </w:pPr>
      <w:r w:rsidRPr="00D41C85">
        <w:rPr>
          <w:rFonts w:ascii="Arial CE" w:hAnsi="Arial CE" w:cs="Helv"/>
          <w:bCs/>
          <w:sz w:val="22"/>
          <w:szCs w:val="22"/>
        </w:rPr>
        <w:t>Revitalizace bude spočívat ve vybudování nového zemního meandrovitého koryta s tůněmi, prodloužení trasy toku, snížení sklonu dna, vložení úkrytových prvků pro vodní organismy, zpomalení odtoku vody a její zadržení v krajině.</w:t>
      </w:r>
    </w:p>
    <w:p w14:paraId="05BF4515" w14:textId="535877A9" w:rsidR="009D12DE" w:rsidRPr="00D52716" w:rsidRDefault="009D12DE" w:rsidP="00D52716">
      <w:pPr>
        <w:pStyle w:val="Default"/>
        <w:jc w:val="both"/>
        <w:rPr>
          <w:rFonts w:ascii="Arial CE" w:hAnsi="Arial CE" w:cs="Arial"/>
          <w:sz w:val="22"/>
          <w:szCs w:val="22"/>
        </w:rPr>
      </w:pPr>
    </w:p>
    <w:p w14:paraId="37C9AD3D" w14:textId="77777777" w:rsidR="009D12DE" w:rsidRPr="00D52716" w:rsidRDefault="009D12DE" w:rsidP="00D52716">
      <w:pPr>
        <w:pStyle w:val="Default"/>
        <w:jc w:val="both"/>
        <w:rPr>
          <w:rFonts w:ascii="Arial CE" w:hAnsi="Arial CE" w:cs="Arial"/>
          <w:sz w:val="22"/>
          <w:szCs w:val="22"/>
        </w:rPr>
      </w:pPr>
    </w:p>
    <w:p w14:paraId="6E3304E5" w14:textId="77777777" w:rsidR="001006ED" w:rsidRPr="00D52716" w:rsidRDefault="001006ED" w:rsidP="001006ED">
      <w:pPr>
        <w:pStyle w:val="Default"/>
        <w:rPr>
          <w:rFonts w:ascii="Arial CE" w:hAnsi="Arial CE" w:cs="Arial"/>
          <w:sz w:val="22"/>
          <w:szCs w:val="22"/>
        </w:rPr>
      </w:pPr>
      <w:bookmarkStart w:id="1" w:name="_Hlk74549360"/>
      <w:r w:rsidRPr="00D52716">
        <w:rPr>
          <w:rFonts w:ascii="Arial CE" w:hAnsi="Arial CE" w:cs="Arial"/>
          <w:sz w:val="22"/>
          <w:szCs w:val="22"/>
        </w:rPr>
        <w:t xml:space="preserve">Specifikace prací: </w:t>
      </w:r>
    </w:p>
    <w:p w14:paraId="68600923" w14:textId="120CC810" w:rsidR="009D12DE" w:rsidRPr="00D52716" w:rsidRDefault="001006ED" w:rsidP="00894ED6">
      <w:pPr>
        <w:autoSpaceDE w:val="0"/>
        <w:autoSpaceDN w:val="0"/>
        <w:adjustRightInd w:val="0"/>
        <w:ind w:left="567" w:hanging="283"/>
        <w:jc w:val="left"/>
        <w:rPr>
          <w:rFonts w:ascii="Arial CE" w:hAnsi="Arial CE" w:cs="Arial"/>
          <w:szCs w:val="22"/>
        </w:rPr>
      </w:pPr>
      <w:r w:rsidRPr="00D52716">
        <w:rPr>
          <w:rFonts w:ascii="Arial CE" w:hAnsi="Arial CE" w:cs="Arial"/>
          <w:szCs w:val="22"/>
        </w:rPr>
        <w:t>-</w:t>
      </w:r>
      <w:r w:rsidRPr="00D52716">
        <w:rPr>
          <w:rFonts w:ascii="Arial CE" w:hAnsi="Arial CE" w:cs="Arial"/>
          <w:szCs w:val="22"/>
        </w:rPr>
        <w:tab/>
        <w:t>Geodetické zaměření</w:t>
      </w:r>
      <w:r w:rsidR="009D12DE" w:rsidRPr="00D52716">
        <w:rPr>
          <w:rFonts w:ascii="Arial CE" w:hAnsi="Arial CE" w:cs="Arial"/>
          <w:szCs w:val="22"/>
        </w:rPr>
        <w:t xml:space="preserve"> zájmového území stavbou řešené lokality</w:t>
      </w:r>
      <w:r w:rsidR="00C063E5">
        <w:rPr>
          <w:rFonts w:ascii="Arial CE" w:hAnsi="Arial CE" w:cs="Arial"/>
          <w:szCs w:val="22"/>
        </w:rPr>
        <w:t>)</w:t>
      </w:r>
    </w:p>
    <w:p w14:paraId="1DE859D4" w14:textId="30F693EA" w:rsidR="001006ED" w:rsidRPr="00D52716" w:rsidRDefault="001006ED" w:rsidP="001006ED">
      <w:pPr>
        <w:pStyle w:val="Default"/>
        <w:spacing w:after="27"/>
        <w:ind w:left="567" w:hanging="283"/>
        <w:rPr>
          <w:rFonts w:ascii="Arial CE" w:hAnsi="Arial CE" w:cs="Arial"/>
          <w:sz w:val="22"/>
          <w:szCs w:val="22"/>
        </w:rPr>
      </w:pPr>
      <w:r w:rsidRPr="00D52716">
        <w:rPr>
          <w:rFonts w:ascii="Arial CE" w:hAnsi="Arial CE" w:cs="Arial"/>
          <w:sz w:val="22"/>
          <w:szCs w:val="22"/>
        </w:rPr>
        <w:t>-</w:t>
      </w:r>
      <w:r w:rsidRPr="00D52716">
        <w:rPr>
          <w:rFonts w:ascii="Arial CE" w:hAnsi="Arial CE" w:cs="Arial"/>
          <w:sz w:val="22"/>
          <w:szCs w:val="22"/>
        </w:rPr>
        <w:tab/>
        <w:t xml:space="preserve">Hydrologická data ČHMÚ </w:t>
      </w:r>
    </w:p>
    <w:p w14:paraId="55F6F987" w14:textId="77777777" w:rsidR="00894ED6" w:rsidRPr="00D52716" w:rsidRDefault="001006ED" w:rsidP="001006ED">
      <w:pPr>
        <w:pStyle w:val="Default"/>
        <w:spacing w:after="27"/>
        <w:ind w:left="567" w:hanging="283"/>
        <w:rPr>
          <w:rFonts w:ascii="Arial CE" w:hAnsi="Arial CE" w:cs="Arial"/>
          <w:sz w:val="22"/>
          <w:szCs w:val="22"/>
        </w:rPr>
      </w:pPr>
      <w:r w:rsidRPr="00D52716">
        <w:rPr>
          <w:rFonts w:ascii="Arial CE" w:hAnsi="Arial CE" w:cs="Arial"/>
          <w:sz w:val="22"/>
          <w:szCs w:val="22"/>
        </w:rPr>
        <w:t>-</w:t>
      </w:r>
      <w:r w:rsidRPr="00D52716">
        <w:rPr>
          <w:rFonts w:ascii="Arial CE" w:hAnsi="Arial CE" w:cs="Arial"/>
          <w:sz w:val="22"/>
          <w:szCs w:val="22"/>
        </w:rPr>
        <w:tab/>
        <w:t xml:space="preserve">Projektová dokumentace </w:t>
      </w:r>
      <w:r w:rsidR="00894ED6" w:rsidRPr="00D52716">
        <w:rPr>
          <w:rFonts w:ascii="Arial CE" w:hAnsi="Arial CE" w:cs="Arial"/>
          <w:sz w:val="22"/>
          <w:szCs w:val="22"/>
        </w:rPr>
        <w:t xml:space="preserve">DUR </w:t>
      </w:r>
    </w:p>
    <w:p w14:paraId="055953F8" w14:textId="0CA2C9E2" w:rsidR="00894ED6" w:rsidRPr="00D52716" w:rsidRDefault="00894ED6" w:rsidP="00894ED6">
      <w:pPr>
        <w:autoSpaceDE w:val="0"/>
        <w:autoSpaceDN w:val="0"/>
        <w:adjustRightInd w:val="0"/>
        <w:ind w:firstLine="284"/>
        <w:jc w:val="left"/>
        <w:rPr>
          <w:rFonts w:ascii="Arial CE" w:hAnsi="Arial CE" w:cs="Arial"/>
          <w:szCs w:val="22"/>
        </w:rPr>
      </w:pPr>
      <w:r w:rsidRPr="00D52716">
        <w:rPr>
          <w:rFonts w:ascii="Arial CE" w:hAnsi="Arial CE" w:cs="Arial"/>
          <w:szCs w:val="22"/>
        </w:rPr>
        <w:t>-   Inženýrská činnost – projednání akce s dotčenými správci technické a dopravní</w:t>
      </w:r>
    </w:p>
    <w:p w14:paraId="4EF7088A" w14:textId="5C2793CE" w:rsidR="00894ED6" w:rsidRPr="00D52716" w:rsidRDefault="00894ED6" w:rsidP="00894ED6">
      <w:pPr>
        <w:autoSpaceDE w:val="0"/>
        <w:autoSpaceDN w:val="0"/>
        <w:adjustRightInd w:val="0"/>
        <w:jc w:val="left"/>
        <w:rPr>
          <w:rFonts w:ascii="Arial CE" w:hAnsi="Arial CE" w:cs="Arial"/>
          <w:szCs w:val="22"/>
        </w:rPr>
      </w:pPr>
      <w:r w:rsidRPr="00D52716">
        <w:rPr>
          <w:rFonts w:ascii="Arial CE" w:hAnsi="Arial CE" w:cs="Arial"/>
          <w:szCs w:val="22"/>
        </w:rPr>
        <w:t xml:space="preserve">         infrastruktury, ŽP, souhlasy s příjezdy na stavbu a umístění ZS, včetně projednání</w:t>
      </w:r>
    </w:p>
    <w:p w14:paraId="760F7FDB" w14:textId="755E2238" w:rsidR="00894ED6" w:rsidRPr="00D52716" w:rsidRDefault="00894ED6" w:rsidP="00894ED6">
      <w:pPr>
        <w:autoSpaceDE w:val="0"/>
        <w:autoSpaceDN w:val="0"/>
        <w:adjustRightInd w:val="0"/>
        <w:jc w:val="left"/>
        <w:rPr>
          <w:rFonts w:ascii="Arial CE" w:hAnsi="Arial CE" w:cs="Arial"/>
          <w:szCs w:val="22"/>
        </w:rPr>
      </w:pPr>
      <w:r w:rsidRPr="00D52716">
        <w:rPr>
          <w:rFonts w:ascii="Arial CE" w:hAnsi="Arial CE" w:cs="Arial"/>
          <w:szCs w:val="22"/>
        </w:rPr>
        <w:t xml:space="preserve">         s objednatelem (výrobní výbory, </w:t>
      </w:r>
      <w:r w:rsidRPr="00C063E5">
        <w:rPr>
          <w:rFonts w:ascii="Arial CE" w:hAnsi="Arial CE" w:cs="Arial"/>
          <w:szCs w:val="22"/>
        </w:rPr>
        <w:t>investiční komise</w:t>
      </w:r>
      <w:r w:rsidRPr="00D52716">
        <w:rPr>
          <w:rFonts w:ascii="Arial CE" w:hAnsi="Arial CE" w:cs="Arial"/>
          <w:szCs w:val="22"/>
        </w:rPr>
        <w:t>)</w:t>
      </w:r>
    </w:p>
    <w:p w14:paraId="4BA8D9B6" w14:textId="6203B188" w:rsidR="00894ED6" w:rsidRPr="00D52716" w:rsidRDefault="00894ED6" w:rsidP="00894ED6">
      <w:pPr>
        <w:autoSpaceDE w:val="0"/>
        <w:autoSpaceDN w:val="0"/>
        <w:adjustRightInd w:val="0"/>
        <w:ind w:firstLine="284"/>
        <w:jc w:val="left"/>
        <w:rPr>
          <w:rFonts w:ascii="Arial CE" w:hAnsi="Arial CE" w:cs="Arial"/>
          <w:szCs w:val="22"/>
        </w:rPr>
      </w:pPr>
      <w:r w:rsidRPr="00D52716">
        <w:rPr>
          <w:rFonts w:ascii="Arial CE" w:eastAsia="CIDFont+F5" w:hAnsi="Arial CE" w:cs="Arial"/>
          <w:szCs w:val="22"/>
        </w:rPr>
        <w:t>-   Z</w:t>
      </w:r>
      <w:r w:rsidRPr="00D52716">
        <w:rPr>
          <w:rFonts w:ascii="Arial CE" w:hAnsi="Arial CE" w:cs="Arial"/>
          <w:szCs w:val="22"/>
        </w:rPr>
        <w:t>pracování odhadu investičních nákladů stavby</w:t>
      </w:r>
    </w:p>
    <w:bookmarkEnd w:id="1"/>
    <w:p w14:paraId="0739FE92" w14:textId="77777777" w:rsidR="009B0A38" w:rsidRPr="00D52716" w:rsidRDefault="009B0A38" w:rsidP="000112BD">
      <w:pPr>
        <w:rPr>
          <w:rFonts w:ascii="Arial CE" w:hAnsi="Arial CE" w:cs="Arial"/>
          <w:szCs w:val="22"/>
        </w:rPr>
      </w:pPr>
    </w:p>
    <w:p w14:paraId="56E7CD67" w14:textId="276B2D7F" w:rsidR="00781B6E" w:rsidRPr="00D52716" w:rsidRDefault="00781B6E" w:rsidP="000112BD">
      <w:pPr>
        <w:rPr>
          <w:rFonts w:ascii="Arial CE" w:eastAsia="Arial CE" w:hAnsi="Arial CE" w:cs="Arial"/>
          <w:szCs w:val="22"/>
        </w:rPr>
      </w:pPr>
      <w:r w:rsidRPr="00D52716">
        <w:rPr>
          <w:rFonts w:ascii="Arial CE" w:eastAsia="Arial CE" w:hAnsi="Arial CE" w:cs="Arial"/>
          <w:szCs w:val="22"/>
        </w:rPr>
        <w:t>Součástí díla jsou výsledky jednání, zápisy nebo záznamy z výrobních výborů se</w:t>
      </w:r>
      <w:r w:rsidR="00864E08" w:rsidRPr="00D52716">
        <w:rPr>
          <w:rFonts w:ascii="Arial CE" w:eastAsia="Arial CE" w:hAnsi="Arial CE" w:cs="Arial"/>
          <w:szCs w:val="22"/>
        </w:rPr>
        <w:t> </w:t>
      </w:r>
      <w:r w:rsidRPr="00D52716">
        <w:rPr>
          <w:rFonts w:ascii="Arial CE" w:eastAsia="Arial CE" w:hAnsi="Arial CE" w:cs="Arial"/>
          <w:szCs w:val="22"/>
        </w:rPr>
        <w:t xml:space="preserve">zástupci objednatele. </w:t>
      </w:r>
    </w:p>
    <w:p w14:paraId="15BFC243" w14:textId="77777777" w:rsidR="00781B6E" w:rsidRPr="00D52716" w:rsidRDefault="00781B6E" w:rsidP="001251EF">
      <w:pPr>
        <w:rPr>
          <w:rFonts w:ascii="Arial CE" w:eastAsia="Arial CE" w:hAnsi="Arial CE" w:cs="Arial"/>
          <w:szCs w:val="22"/>
        </w:rPr>
      </w:pPr>
    </w:p>
    <w:p w14:paraId="788C2FA5" w14:textId="77777777" w:rsidR="00781B6E" w:rsidRDefault="00781B6E" w:rsidP="001251EF">
      <w:pPr>
        <w:rPr>
          <w:rFonts w:eastAsia="Arial CE"/>
        </w:rPr>
      </w:pPr>
      <w:r w:rsidRPr="00D52716">
        <w:rPr>
          <w:rFonts w:ascii="Arial CE" w:eastAsia="Arial CE" w:hAnsi="Arial CE" w:cs="Arial"/>
          <w:szCs w:val="22"/>
        </w:rPr>
        <w:t>Součástí plnění díla je také inženýrská činnost, která povede k zajištění dokladové části - tj.</w:t>
      </w:r>
      <w:r w:rsidR="00864E08" w:rsidRPr="00D52716">
        <w:rPr>
          <w:rFonts w:ascii="Arial CE" w:eastAsia="Arial CE" w:hAnsi="Arial CE" w:cs="Arial"/>
          <w:szCs w:val="22"/>
        </w:rPr>
        <w:t> </w:t>
      </w:r>
      <w:r w:rsidRPr="00D52716">
        <w:rPr>
          <w:rFonts w:ascii="Arial CE" w:eastAsia="Arial CE" w:hAnsi="Arial CE" w:cs="Arial"/>
          <w:szCs w:val="22"/>
        </w:rPr>
        <w:t>získání závazných</w:t>
      </w:r>
      <w:r w:rsidRPr="00781B6E">
        <w:rPr>
          <w:rFonts w:eastAsia="Arial CE"/>
        </w:rPr>
        <w:t xml:space="preserve">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471596F7" w14:textId="77777777" w:rsidR="00680069" w:rsidRDefault="00781B6E" w:rsidP="00781B6E">
      <w:pPr>
        <w:outlineLvl w:val="0"/>
        <w:rPr>
          <w:rFonts w:eastAsia="Arial CE" w:cs="Arial"/>
          <w:szCs w:val="22"/>
        </w:rPr>
      </w:pPr>
      <w:r w:rsidRPr="00781B6E">
        <w:rPr>
          <w:rFonts w:eastAsia="Arial CE" w:cs="Arial"/>
          <w:szCs w:val="22"/>
        </w:rPr>
        <w:t xml:space="preserve">Dále je součástí dokladové části tzv. majetkoprávní </w:t>
      </w:r>
      <w:proofErr w:type="gramStart"/>
      <w:r w:rsidRPr="00781B6E">
        <w:rPr>
          <w:rFonts w:eastAsia="Arial CE" w:cs="Arial"/>
          <w:szCs w:val="22"/>
        </w:rPr>
        <w:t>elaborát - souhlasy</w:t>
      </w:r>
      <w:proofErr w:type="gramEnd"/>
      <w:r w:rsidRPr="00781B6E">
        <w:rPr>
          <w:rFonts w:eastAsia="Arial CE" w:cs="Arial"/>
          <w:szCs w:val="22"/>
        </w:rPr>
        <w:t xml:space="preserve">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p>
    <w:p w14:paraId="224D5474" w14:textId="77777777" w:rsidR="00242D51" w:rsidRDefault="00242D51" w:rsidP="001251EF">
      <w:pPr>
        <w:rPr>
          <w:rFonts w:eastAsia="Arial CE"/>
        </w:rPr>
      </w:pPr>
    </w:p>
    <w:p w14:paraId="0BADAE00" w14:textId="29B9E4C8"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5B8A8A9F" w14:textId="6CF4D7EA" w:rsidR="007F7784" w:rsidRDefault="007F7784" w:rsidP="001251EF">
      <w:pPr>
        <w:rPr>
          <w:rFonts w:eastAsia="Arial CE"/>
        </w:rPr>
      </w:pPr>
    </w:p>
    <w:p w14:paraId="080C2A44" w14:textId="55BE28BA" w:rsidR="007F7784" w:rsidRDefault="007F7784" w:rsidP="001251EF">
      <w:pPr>
        <w:rPr>
          <w:rFonts w:eastAsia="Arial CE"/>
        </w:rPr>
      </w:pPr>
    </w:p>
    <w:p w14:paraId="7B2D3FFB" w14:textId="11FC8D47" w:rsidR="007F7784" w:rsidRDefault="007F7784" w:rsidP="001251EF">
      <w:pPr>
        <w:rPr>
          <w:rFonts w:eastAsia="Arial CE"/>
        </w:rPr>
      </w:pPr>
    </w:p>
    <w:p w14:paraId="20C49178" w14:textId="300D76AC" w:rsidR="007F7784" w:rsidRDefault="007F7784" w:rsidP="001251EF">
      <w:pPr>
        <w:rPr>
          <w:rFonts w:eastAsia="Arial CE"/>
        </w:rPr>
      </w:pPr>
    </w:p>
    <w:p w14:paraId="0F8E624E" w14:textId="77777777" w:rsidR="007F7784" w:rsidRDefault="007F7784" w:rsidP="001251EF">
      <w:pPr>
        <w:rPr>
          <w:rFonts w:eastAsia="Arial CE"/>
        </w:rPr>
      </w:pP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0BDDB4E4" w14:textId="77777777" w:rsidR="00894ED6" w:rsidRPr="00CF07E6" w:rsidRDefault="00894ED6" w:rsidP="00894ED6">
      <w:pPr>
        <w:tabs>
          <w:tab w:val="left" w:pos="1260"/>
          <w:tab w:val="left" w:pos="3960"/>
        </w:tabs>
        <w:spacing w:before="120"/>
        <w:rPr>
          <w:rFonts w:ascii="Arial CE" w:hAnsi="Arial CE" w:cs="Arial"/>
          <w:color w:val="000000"/>
          <w:szCs w:val="22"/>
        </w:rPr>
      </w:pPr>
      <w:r w:rsidRPr="00CF07E6">
        <w:rPr>
          <w:rFonts w:ascii="Arial CE" w:hAnsi="Arial CE" w:cs="Arial"/>
          <w:color w:val="000000"/>
          <w:szCs w:val="22"/>
        </w:rPr>
        <w:t xml:space="preserve">Zhotovitel se zavazuje provést dílo v souladu s §159 zákona č. 183/2006 Sb., o územním plánování a stavebním řádu (stavební zákon), ve znění pozdějších </w:t>
      </w:r>
      <w:proofErr w:type="gramStart"/>
      <w:r w:rsidRPr="00CF07E6">
        <w:rPr>
          <w:rFonts w:ascii="Arial CE" w:hAnsi="Arial CE" w:cs="Arial"/>
          <w:color w:val="000000"/>
          <w:szCs w:val="22"/>
        </w:rPr>
        <w:t>předpisů</w:t>
      </w:r>
      <w:proofErr w:type="gramEnd"/>
      <w:r w:rsidRPr="00CF07E6">
        <w:rPr>
          <w:rFonts w:ascii="Arial CE" w:hAnsi="Arial CE" w:cs="Arial"/>
          <w:color w:val="000000"/>
          <w:szCs w:val="22"/>
        </w:rPr>
        <w:t xml:space="preserve"> a to s odbornou péčí, v rozsahu a kvalitě podle této smlouvy a v termínu plnění, jak je definováno níže. </w:t>
      </w:r>
    </w:p>
    <w:p w14:paraId="53713424" w14:textId="77777777" w:rsidR="00894ED6" w:rsidRPr="00CF07E6" w:rsidRDefault="00894ED6" w:rsidP="00894ED6">
      <w:pPr>
        <w:tabs>
          <w:tab w:val="left" w:pos="1260"/>
          <w:tab w:val="left" w:pos="3960"/>
        </w:tabs>
        <w:spacing w:before="120"/>
        <w:rPr>
          <w:rFonts w:ascii="Arial CE" w:hAnsi="Arial CE" w:cs="Arial"/>
          <w:color w:val="000000"/>
          <w:szCs w:val="22"/>
        </w:rPr>
      </w:pPr>
    </w:p>
    <w:p w14:paraId="38EA3473" w14:textId="77777777" w:rsidR="00894ED6" w:rsidRPr="00CF07E6" w:rsidRDefault="00894ED6" w:rsidP="00894ED6">
      <w:pPr>
        <w:tabs>
          <w:tab w:val="left" w:pos="1260"/>
          <w:tab w:val="left" w:pos="3960"/>
        </w:tabs>
        <w:spacing w:before="120"/>
        <w:rPr>
          <w:rFonts w:ascii="Arial CE" w:hAnsi="Arial CE" w:cs="Arial"/>
          <w:color w:val="000000"/>
          <w:szCs w:val="22"/>
        </w:rPr>
      </w:pPr>
      <w:r w:rsidRPr="00CF07E6">
        <w:rPr>
          <w:rFonts w:ascii="Arial CE" w:hAnsi="Arial CE" w:cs="Arial"/>
          <w:color w:val="000000"/>
          <w:szCs w:val="22"/>
        </w:rPr>
        <w:t xml:space="preserve">Projektová dokumentace bude zpracována v souladu s vyhláškou č. 499/2006 Sb., o dokumentaci staveb, ve znění vyhlášky č. 405/2017 Sb., a vyhláškou č. 169/2016 Sb., o stanovení rozsahu dokumentace veřejné zakázky na stavební práce a soupisu stavebních prací, dodávek a služeb s výkazem výměr, ve znění vyhlášky č. 405/2017 Sb. </w:t>
      </w:r>
    </w:p>
    <w:p w14:paraId="5AC7D7EB" w14:textId="77777777" w:rsidR="00894ED6" w:rsidRDefault="00894ED6" w:rsidP="009B13D4">
      <w:pPr>
        <w:autoSpaceDE w:val="0"/>
        <w:autoSpaceDN w:val="0"/>
        <w:adjustRightInd w:val="0"/>
        <w:rPr>
          <w:rFonts w:cs="Arial"/>
          <w:szCs w:val="22"/>
        </w:rPr>
      </w:pPr>
    </w:p>
    <w:p w14:paraId="575DA92B" w14:textId="77777777" w:rsidR="00894ED6" w:rsidRDefault="00894ED6"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693560C1" w14:textId="77777777" w:rsidR="00A36768" w:rsidRPr="00AA2B6A" w:rsidRDefault="00A36768" w:rsidP="00EC4562">
      <w:pPr>
        <w:pStyle w:val="Odstavecseseznamem"/>
        <w:numPr>
          <w:ilvl w:val="0"/>
          <w:numId w:val="12"/>
        </w:numPr>
        <w:rPr>
          <w:rFonts w:cs="Arial"/>
          <w:szCs w:val="22"/>
        </w:rPr>
      </w:pPr>
      <w:r>
        <w:rPr>
          <w:rFonts w:cs="Arial"/>
          <w:szCs w:val="22"/>
        </w:rPr>
        <w:t xml:space="preserve">Zpracování Sumarizační tabulky s pozemky dotčenými trvalým a dočasným záborem (předepsaný formulář objednatele) </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77777777"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E091DDC"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w:t>
      </w:r>
      <w:r w:rsidRPr="009B13D4">
        <w:rPr>
          <w:rFonts w:cs="Arial"/>
          <w:szCs w:val="22"/>
        </w:rPr>
        <w:lastRenderedPageBreak/>
        <w:t xml:space="preserve">tištěné + 1x na elektronickém nosiči dat </w:t>
      </w:r>
      <w:r w:rsidRPr="009B13D4">
        <w:rPr>
          <w:rFonts w:cs="Arial"/>
          <w:b/>
          <w:szCs w:val="22"/>
        </w:rPr>
        <w:t>k dílčímu termínu plnění dle SOD</w:t>
      </w:r>
      <w:r w:rsidRPr="009B13D4">
        <w:rPr>
          <w:rFonts w:cs="Arial"/>
          <w:szCs w:val="22"/>
        </w:rPr>
        <w:t>, pro následné projednání v</w:t>
      </w:r>
      <w:r w:rsidR="00C063E5">
        <w:rPr>
          <w:rFonts w:cs="Arial"/>
          <w:szCs w:val="22"/>
        </w:rPr>
        <w:t xml:space="preserve"> investiční komisi </w:t>
      </w:r>
      <w:r w:rsidRPr="009B13D4">
        <w:rPr>
          <w:rFonts w:cs="Arial"/>
          <w:szCs w:val="22"/>
        </w:rPr>
        <w:t xml:space="preserve">objednatele. </w:t>
      </w:r>
    </w:p>
    <w:p w14:paraId="4A6DCA02" w14:textId="77777777" w:rsidR="009B13D4" w:rsidRPr="009B13D4" w:rsidRDefault="009B13D4" w:rsidP="009B13D4">
      <w:pPr>
        <w:autoSpaceDE w:val="0"/>
        <w:autoSpaceDN w:val="0"/>
        <w:adjustRightInd w:val="0"/>
        <w:rPr>
          <w:rFonts w:cs="Arial"/>
          <w:szCs w:val="22"/>
        </w:rPr>
      </w:pPr>
    </w:p>
    <w:p w14:paraId="70EB7E5F" w14:textId="36FD20E1" w:rsidR="009B13D4" w:rsidRPr="009B13D4" w:rsidRDefault="009B13D4" w:rsidP="009B13D4">
      <w:pPr>
        <w:autoSpaceDE w:val="0"/>
        <w:autoSpaceDN w:val="0"/>
        <w:adjustRightInd w:val="0"/>
        <w:rPr>
          <w:rFonts w:cs="Arial"/>
          <w:szCs w:val="22"/>
        </w:rPr>
      </w:pPr>
      <w:r w:rsidRPr="009B13D4">
        <w:rPr>
          <w:rFonts w:cs="Arial"/>
          <w:szCs w:val="22"/>
        </w:rPr>
        <w:t>Zhotovitel se zúčastní projednání projektové dokumentace v</w:t>
      </w:r>
      <w:r w:rsidR="00894ED6">
        <w:rPr>
          <w:rFonts w:cs="Arial"/>
          <w:szCs w:val="22"/>
        </w:rPr>
        <w:t> </w:t>
      </w:r>
      <w:r w:rsidR="00894ED6" w:rsidRPr="00C063E5">
        <w:rPr>
          <w:rFonts w:cs="Arial"/>
          <w:szCs w:val="22"/>
        </w:rPr>
        <w:t xml:space="preserve">investiční </w:t>
      </w:r>
      <w:r w:rsidRPr="00C063E5">
        <w:rPr>
          <w:rFonts w:cs="Arial"/>
          <w:szCs w:val="22"/>
        </w:rPr>
        <w:t>komisi objednatele</w:t>
      </w:r>
      <w:r w:rsidRPr="009B13D4">
        <w:rPr>
          <w:rFonts w:cs="Arial"/>
          <w:szCs w:val="22"/>
        </w:rPr>
        <w:t>.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034B70AE" w:rsidR="009B13D4" w:rsidRPr="009B13D4" w:rsidRDefault="009B13D4" w:rsidP="009B13D4">
      <w:pPr>
        <w:autoSpaceDE w:val="0"/>
        <w:autoSpaceDN w:val="0"/>
        <w:adjustRightInd w:val="0"/>
        <w:rPr>
          <w:rFonts w:cs="Arial"/>
          <w:szCs w:val="22"/>
        </w:rPr>
      </w:pPr>
      <w:r w:rsidRPr="009B13D4">
        <w:rPr>
          <w:rFonts w:cs="Arial"/>
          <w:szCs w:val="22"/>
        </w:rPr>
        <w:t>Zhotovitel se zúčastní projednání kompletní projektové dokumentace v</w:t>
      </w:r>
      <w:r w:rsidR="00894ED6">
        <w:rPr>
          <w:rFonts w:cs="Arial"/>
          <w:szCs w:val="22"/>
        </w:rPr>
        <w:t> </w:t>
      </w:r>
      <w:r w:rsidR="00894ED6" w:rsidRPr="00C063E5">
        <w:rPr>
          <w:rFonts w:cs="Arial"/>
          <w:szCs w:val="22"/>
        </w:rPr>
        <w:t xml:space="preserve">investiční </w:t>
      </w:r>
      <w:r w:rsidRPr="00C063E5">
        <w:rPr>
          <w:rFonts w:cs="Arial"/>
          <w:szCs w:val="22"/>
        </w:rPr>
        <w:t>komisi</w:t>
      </w:r>
      <w:r w:rsidRPr="009B13D4">
        <w:rPr>
          <w:rFonts w:cs="Arial"/>
          <w:szCs w:val="22"/>
        </w:rPr>
        <w:t xml:space="preserve"> objednatele. Při neúspěšném projednání PD v</w:t>
      </w:r>
      <w:r w:rsidR="00C063E5">
        <w:rPr>
          <w:rFonts w:cs="Arial"/>
          <w:szCs w:val="22"/>
        </w:rPr>
        <w:t xml:space="preserve"> investiční </w:t>
      </w:r>
      <w:r w:rsidRPr="009B13D4">
        <w:rPr>
          <w:rFonts w:cs="Arial"/>
          <w:szCs w:val="22"/>
        </w:rPr>
        <w:t xml:space="preserve">komisi zhotovitel předělá části PD dle závěrů </w:t>
      </w:r>
      <w:r w:rsidR="00C063E5">
        <w:rPr>
          <w:rFonts w:cs="Arial"/>
          <w:szCs w:val="22"/>
        </w:rPr>
        <w:t xml:space="preserve">IK PŘ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0D87C8F1"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EC4562">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20C455DE"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00530B">
        <w:rPr>
          <w:rFonts w:cs="Arial"/>
          <w:b/>
          <w:color w:val="000000"/>
          <w:szCs w:val="22"/>
        </w:rPr>
        <w:t xml:space="preserve">, nejpozději však do 10 </w:t>
      </w:r>
      <w:proofErr w:type="gramStart"/>
      <w:r w:rsidR="0000530B">
        <w:rPr>
          <w:rFonts w:cs="Arial"/>
          <w:b/>
          <w:color w:val="000000"/>
          <w:szCs w:val="22"/>
        </w:rPr>
        <w:t xml:space="preserve">dnů </w:t>
      </w:r>
      <w:r w:rsidRPr="006F7D2E">
        <w:rPr>
          <w:rFonts w:cs="Arial"/>
          <w:b/>
          <w:color w:val="000000"/>
          <w:szCs w:val="22"/>
        </w:rPr>
        <w:t xml:space="preserve"> po</w:t>
      </w:r>
      <w:proofErr w:type="gramEnd"/>
      <w:r w:rsidRPr="006F7D2E">
        <w:rPr>
          <w:rFonts w:cs="Arial"/>
          <w:b/>
          <w:color w:val="000000"/>
          <w:szCs w:val="22"/>
        </w:rPr>
        <w:t xml:space="preserve">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EC4562">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46F68EFE"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do</w:t>
      </w:r>
      <w:r w:rsidR="00D52716">
        <w:rPr>
          <w:rFonts w:cs="Arial"/>
          <w:b/>
          <w:bCs/>
          <w:color w:val="000000"/>
          <w:szCs w:val="22"/>
        </w:rPr>
        <w:t xml:space="preserve"> </w:t>
      </w:r>
      <w:r w:rsidR="00D41C85">
        <w:rPr>
          <w:rFonts w:cs="Arial"/>
          <w:b/>
          <w:bCs/>
          <w:color w:val="000000"/>
          <w:szCs w:val="22"/>
        </w:rPr>
        <w:t>31</w:t>
      </w:r>
      <w:r w:rsidR="00894ED6">
        <w:rPr>
          <w:rFonts w:cs="Arial"/>
          <w:b/>
          <w:bCs/>
          <w:color w:val="000000"/>
          <w:szCs w:val="22"/>
        </w:rPr>
        <w:t>.</w:t>
      </w:r>
      <w:r w:rsidR="00D41C85">
        <w:rPr>
          <w:rFonts w:cs="Arial"/>
          <w:b/>
          <w:bCs/>
          <w:color w:val="000000"/>
          <w:szCs w:val="22"/>
        </w:rPr>
        <w:t>1</w:t>
      </w:r>
      <w:r w:rsidR="00132F6E">
        <w:rPr>
          <w:rFonts w:cs="Arial"/>
          <w:b/>
          <w:bCs/>
          <w:color w:val="000000"/>
          <w:szCs w:val="22"/>
        </w:rPr>
        <w:t>2</w:t>
      </w:r>
      <w:r w:rsidR="00414DA0">
        <w:rPr>
          <w:rFonts w:cs="Arial"/>
          <w:b/>
          <w:bCs/>
          <w:color w:val="000000"/>
          <w:szCs w:val="22"/>
        </w:rPr>
        <w:t>.202</w:t>
      </w:r>
      <w:r w:rsidR="00D41C85">
        <w:rPr>
          <w:rFonts w:cs="Arial"/>
          <w:b/>
          <w:bCs/>
          <w:color w:val="000000"/>
          <w:szCs w:val="22"/>
        </w:rPr>
        <w:t>1</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EC4562">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1EC2D8D3"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w:t>
      </w:r>
      <w:r w:rsidR="00894ED6">
        <w:rPr>
          <w:rFonts w:cs="Arial"/>
          <w:color w:val="000000"/>
          <w:szCs w:val="22"/>
        </w:rPr>
        <w:t> </w:t>
      </w:r>
      <w:r w:rsidR="00894ED6" w:rsidRPr="00C063E5">
        <w:rPr>
          <w:rFonts w:cs="Arial"/>
          <w:color w:val="000000"/>
          <w:szCs w:val="22"/>
        </w:rPr>
        <w:t xml:space="preserve">investiční </w:t>
      </w:r>
      <w:r w:rsidR="001D1C96" w:rsidRPr="00C063E5">
        <w:rPr>
          <w:rFonts w:cs="Arial"/>
          <w:color w:val="000000"/>
          <w:szCs w:val="22"/>
        </w:rPr>
        <w:t xml:space="preserve">komisi (dále jen </w:t>
      </w:r>
      <w:r w:rsidR="00894ED6" w:rsidRPr="00C063E5">
        <w:rPr>
          <w:rFonts w:cs="Arial"/>
          <w:color w:val="000000"/>
          <w:szCs w:val="22"/>
        </w:rPr>
        <w:t>IK PŘ</w:t>
      </w:r>
      <w:r w:rsidRPr="00C063E5">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2CADEAD0"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F739B0">
        <w:rPr>
          <w:rFonts w:ascii="Arial CE" w:hAnsi="Arial CE" w:cs="Arial"/>
          <w:b/>
          <w:szCs w:val="22"/>
        </w:rPr>
        <w:t>131 950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1539F5F9" w:rsidR="009D1968" w:rsidRDefault="009D1968" w:rsidP="00345C83">
      <w:pPr>
        <w:ind w:left="360"/>
        <w:rPr>
          <w:rFonts w:cs="Arial"/>
          <w:szCs w:val="22"/>
        </w:rPr>
      </w:pPr>
    </w:p>
    <w:p w14:paraId="6B9E0F32" w14:textId="77777777" w:rsidR="007F7784" w:rsidRDefault="007F7784"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EC4562">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EC456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1F6995C9" w:rsidR="009D1181" w:rsidRDefault="009D1181" w:rsidP="00EC4562">
      <w:pPr>
        <w:numPr>
          <w:ilvl w:val="0"/>
          <w:numId w:val="2"/>
        </w:numPr>
        <w:suppressAutoHyphens/>
        <w:ind w:left="720"/>
        <w:contextualSpacing/>
        <w:rPr>
          <w:rFonts w:ascii="Arial CE" w:hAnsi="Arial CE" w:cs="Arial"/>
          <w:b/>
          <w:szCs w:val="22"/>
        </w:rPr>
      </w:pPr>
      <w:r w:rsidRPr="009D1181">
        <w:rPr>
          <w:rFonts w:ascii="Arial CE" w:hAnsi="Arial CE" w:cs="Arial"/>
          <w:szCs w:val="22"/>
        </w:rPr>
        <w:t>V případě prvního dílčího plnění dnem protokolárního předání a převzetí kompletní PD ve výši 80</w:t>
      </w:r>
      <w:r w:rsidR="00C12B6A">
        <w:rPr>
          <w:rFonts w:ascii="Arial CE" w:hAnsi="Arial CE" w:cs="Arial"/>
          <w:szCs w:val="22"/>
        </w:rPr>
        <w:t xml:space="preserve"> </w:t>
      </w:r>
      <w:r w:rsidRPr="009D1181">
        <w:rPr>
          <w:rFonts w:ascii="Arial CE" w:hAnsi="Arial CE" w:cs="Arial"/>
          <w:szCs w:val="22"/>
        </w:rPr>
        <w:t xml:space="preserve">% </w:t>
      </w:r>
      <w:r w:rsidR="006C3692">
        <w:rPr>
          <w:rFonts w:ascii="Arial CE" w:hAnsi="Arial CE" w:cs="Arial"/>
          <w:szCs w:val="22"/>
        </w:rPr>
        <w:t>z částky</w:t>
      </w:r>
      <w:r w:rsidR="001C17C3">
        <w:rPr>
          <w:rFonts w:ascii="Arial CE" w:hAnsi="Arial CE" w:cs="Arial"/>
          <w:szCs w:val="22"/>
        </w:rPr>
        <w:t xml:space="preserve"> </w:t>
      </w:r>
      <w:r w:rsidR="00F739B0">
        <w:rPr>
          <w:rFonts w:ascii="Arial CE" w:hAnsi="Arial CE" w:cs="Arial"/>
          <w:szCs w:val="22"/>
        </w:rPr>
        <w:t>131 950</w:t>
      </w:r>
      <w:r w:rsidR="001C17C3">
        <w:rPr>
          <w:rFonts w:ascii="Arial CE" w:hAnsi="Arial CE" w:cs="Arial"/>
          <w:szCs w:val="22"/>
        </w:rPr>
        <w:t>,-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00F739B0">
        <w:rPr>
          <w:rFonts w:ascii="Arial CE" w:hAnsi="Arial CE" w:cs="Arial"/>
          <w:b/>
          <w:szCs w:val="22"/>
        </w:rPr>
        <w:t>105 560</w:t>
      </w:r>
      <w:r w:rsidR="001F1AF6"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36BA6169" w:rsidR="009D1181" w:rsidRPr="001F1AF6" w:rsidRDefault="009D1181" w:rsidP="00EC4562">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V případě celkového plnění dnem podpisu „Rozhodnutí“ o schválení PD stupně generálním ředitelem Povodí Ohře, s. p., po předchozím projednání v</w:t>
      </w:r>
      <w:r w:rsidR="00C063E5">
        <w:rPr>
          <w:rFonts w:ascii="Arial CE" w:eastAsia="Arial CE" w:hAnsi="Arial CE" w:cs="Arial CE"/>
          <w:szCs w:val="22"/>
        </w:rPr>
        <w:t xml:space="preserve"> investiční komisi </w:t>
      </w:r>
      <w:r w:rsidRPr="009D1181">
        <w:rPr>
          <w:rFonts w:ascii="Arial CE" w:eastAsia="Arial CE" w:hAnsi="Arial CE" w:cs="Arial CE"/>
          <w:szCs w:val="22"/>
        </w:rPr>
        <w:t>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F739B0">
        <w:rPr>
          <w:rFonts w:ascii="Arial CE" w:eastAsia="Arial CE" w:hAnsi="Arial CE" w:cs="Arial CE"/>
          <w:szCs w:val="22"/>
        </w:rPr>
        <w:t>131 950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F739B0">
        <w:rPr>
          <w:rFonts w:ascii="Arial CE" w:eastAsia="Arial CE" w:hAnsi="Arial CE" w:cs="Arial CE"/>
          <w:b/>
          <w:szCs w:val="22"/>
        </w:rPr>
        <w:t>26 390,</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206AC583"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w:t>
      </w:r>
      <w:r w:rsidRPr="00C063E5">
        <w:rPr>
          <w:rFonts w:ascii="Arial CE" w:eastAsia="Arial CE" w:hAnsi="Arial CE" w:cs="Arial CE"/>
          <w:szCs w:val="22"/>
        </w:rPr>
        <w:t>PD v</w:t>
      </w:r>
      <w:r w:rsidR="00894ED6" w:rsidRPr="00C063E5">
        <w:rPr>
          <w:rFonts w:ascii="Arial CE" w:eastAsia="Arial CE" w:hAnsi="Arial CE" w:cs="Arial CE"/>
          <w:szCs w:val="22"/>
        </w:rPr>
        <w:t> IK PŘ</w:t>
      </w:r>
      <w:r w:rsidRPr="00C063E5">
        <w:rPr>
          <w:rFonts w:ascii="Arial CE" w:eastAsia="Arial CE" w:hAnsi="Arial CE" w:cs="Arial CE"/>
          <w:szCs w:val="22"/>
        </w:rPr>
        <w:t xml:space="preserve"> je</w:t>
      </w:r>
      <w:r w:rsidRPr="009D1181">
        <w:rPr>
          <w:rFonts w:ascii="Arial CE" w:eastAsia="Arial CE" w:hAnsi="Arial CE" w:cs="Arial CE"/>
          <w:szCs w:val="22"/>
        </w:rPr>
        <w:t xml:space="preserv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34D2171D" w:rsidR="006C3692" w:rsidRDefault="006C3692" w:rsidP="006C3692">
      <w:pPr>
        <w:suppressAutoHyphens/>
        <w:ind w:left="1080" w:hanging="1080"/>
        <w:rPr>
          <w:rFonts w:ascii="Arial CE" w:eastAsia="Arial CE" w:hAnsi="Arial CE" w:cs="Arial CE"/>
          <w:b/>
        </w:rPr>
      </w:pPr>
      <w:bookmarkStart w:id="2"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F739B0">
        <w:rPr>
          <w:rFonts w:ascii="Arial CE" w:eastAsia="Arial CE" w:hAnsi="Arial CE" w:cs="Arial CE"/>
          <w:b/>
        </w:rPr>
        <w:t>502581</w:t>
      </w:r>
      <w:r w:rsidR="007F2D48">
        <w:rPr>
          <w:rFonts w:ascii="Arial CE" w:eastAsia="Arial CE" w:hAnsi="Arial CE" w:cs="Arial CE"/>
          <w:b/>
        </w:rPr>
        <w:t>.</w:t>
      </w:r>
    </w:p>
    <w:bookmarkEnd w:id="2"/>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EC456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EC456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EC456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EC456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EC4562">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EC4562">
      <w:pPr>
        <w:pStyle w:val="A-odstavecodsazensodrkami"/>
        <w:numPr>
          <w:ilvl w:val="0"/>
          <w:numId w:val="5"/>
        </w:numPr>
        <w:ind w:left="426" w:hanging="426"/>
        <w:rPr>
          <w:rFonts w:ascii="Arial CE" w:hAnsi="Arial CE"/>
        </w:rPr>
      </w:pPr>
      <w:r w:rsidRPr="00BB6A12">
        <w:rPr>
          <w:rFonts w:ascii="Arial CE" w:hAnsi="Arial CE"/>
        </w:rPr>
        <w:lastRenderedPageBreak/>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EC4562">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EC4562">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EC4562">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EC4562">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EC4562">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5252E4DC" w:rsidR="007F2D48" w:rsidRDefault="007F2D48" w:rsidP="007F2D48">
      <w:pPr>
        <w:pStyle w:val="Odstavecseseznamem"/>
        <w:rPr>
          <w:rFonts w:ascii="Arial CE" w:hAnsi="Arial CE"/>
        </w:rPr>
      </w:pPr>
    </w:p>
    <w:p w14:paraId="5122A83C" w14:textId="77777777" w:rsidR="00D307AF" w:rsidRDefault="00D307AF"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EC4562">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EC4562">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EC4562">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EC4562">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EC456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399CD73F" w:rsidR="00CF240D" w:rsidRDefault="00CF240D" w:rsidP="001251EF"/>
    <w:p w14:paraId="50FA505F" w14:textId="77777777" w:rsidR="00D307AF" w:rsidRDefault="00D307AF"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2DEA271A" w:rsidR="00C979C5" w:rsidRDefault="00C979C5" w:rsidP="001251EF"/>
    <w:p w14:paraId="0AEADB14" w14:textId="77777777" w:rsidR="00D307AF" w:rsidRDefault="00D307AF"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EC4562">
      <w:pPr>
        <w:pStyle w:val="Odstavecseseznamem"/>
        <w:numPr>
          <w:ilvl w:val="0"/>
          <w:numId w:val="6"/>
        </w:numPr>
        <w:tabs>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EC4562">
      <w:pPr>
        <w:pStyle w:val="Odstavecseseznamem"/>
        <w:numPr>
          <w:ilvl w:val="0"/>
          <w:numId w:val="6"/>
        </w:numPr>
        <w:tabs>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EC4562">
      <w:pPr>
        <w:pStyle w:val="Odstavecseseznamem"/>
        <w:numPr>
          <w:ilvl w:val="0"/>
          <w:numId w:val="6"/>
        </w:numPr>
        <w:tabs>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EC4562">
      <w:pPr>
        <w:pStyle w:val="Odstavecseseznamem"/>
        <w:numPr>
          <w:ilvl w:val="0"/>
          <w:numId w:val="6"/>
        </w:numPr>
        <w:tabs>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EC4562">
      <w:pPr>
        <w:pStyle w:val="Odstavecseseznamem"/>
        <w:numPr>
          <w:ilvl w:val="0"/>
          <w:numId w:val="6"/>
        </w:numPr>
        <w:tabs>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6EE33E71" w:rsidR="00BA6A71" w:rsidRDefault="00BA6A71" w:rsidP="00BA6A71">
      <w:pPr>
        <w:autoSpaceDE w:val="0"/>
        <w:autoSpaceDN w:val="0"/>
        <w:adjustRightInd w:val="0"/>
        <w:rPr>
          <w:rFonts w:ascii="Arial CE" w:hAnsi="Arial CE" w:cs="Arial"/>
          <w:b/>
          <w:color w:val="000000"/>
          <w:szCs w:val="22"/>
          <w:u w:val="single"/>
        </w:rPr>
      </w:pPr>
    </w:p>
    <w:p w14:paraId="1EDF6D63" w14:textId="77777777" w:rsidR="00D307AF" w:rsidRDefault="00D307AF"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EC4562">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EC4562">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EC4562">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EC4562">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39EA47E0" w14:textId="77777777" w:rsidR="00D307AF" w:rsidRDefault="00D307AF"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EC4562">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EC4562">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EC4562">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77777777" w:rsidR="00BA6A71" w:rsidRPr="00663814" w:rsidRDefault="00BA6A71" w:rsidP="00EC4562">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EC4562">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lastRenderedPageBreak/>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EC4562">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EC4562">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EC4562">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EC4562">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6BD43636" w:rsidR="00576944" w:rsidRDefault="00576944" w:rsidP="00576944">
      <w:pPr>
        <w:rPr>
          <w:rFonts w:cs="Arial"/>
          <w:bCs/>
          <w:color w:val="000000"/>
          <w:szCs w:val="22"/>
        </w:rPr>
      </w:pPr>
    </w:p>
    <w:p w14:paraId="4730ADA7" w14:textId="3182B935" w:rsidR="00D307AF" w:rsidRDefault="00D307AF" w:rsidP="00576944">
      <w:pPr>
        <w:rPr>
          <w:rFonts w:cs="Arial"/>
          <w:bCs/>
          <w:color w:val="000000"/>
          <w:szCs w:val="22"/>
        </w:rPr>
      </w:pPr>
    </w:p>
    <w:p w14:paraId="7F08026A" w14:textId="71518661" w:rsidR="00D307AF" w:rsidRDefault="00D307AF" w:rsidP="00576944">
      <w:pPr>
        <w:rPr>
          <w:rFonts w:cs="Arial"/>
          <w:bCs/>
          <w:color w:val="000000"/>
          <w:szCs w:val="22"/>
        </w:rPr>
      </w:pPr>
    </w:p>
    <w:p w14:paraId="5F9D2A67" w14:textId="2B70924D" w:rsidR="00D307AF" w:rsidRDefault="00D307AF" w:rsidP="00576944">
      <w:pPr>
        <w:rPr>
          <w:rFonts w:cs="Arial"/>
          <w:bCs/>
          <w:color w:val="000000"/>
          <w:szCs w:val="22"/>
        </w:rPr>
      </w:pPr>
    </w:p>
    <w:p w14:paraId="18A9687F" w14:textId="77777777" w:rsidR="00D307AF" w:rsidRDefault="00D307AF" w:rsidP="00576944">
      <w:pPr>
        <w:rPr>
          <w:rFonts w:cs="Arial"/>
          <w:bCs/>
          <w:color w:val="000000"/>
          <w:szCs w:val="22"/>
        </w:rPr>
      </w:pPr>
    </w:p>
    <w:p w14:paraId="2A90E45F" w14:textId="77777777" w:rsidR="00576944" w:rsidRPr="00576944" w:rsidRDefault="00576944" w:rsidP="00511575">
      <w:pPr>
        <w:rPr>
          <w:rFonts w:cs="Arial"/>
          <w:bCs/>
          <w:color w:val="000000"/>
          <w:szCs w:val="22"/>
        </w:rPr>
      </w:pPr>
    </w:p>
    <w:p w14:paraId="5D270326" w14:textId="5401D8CB" w:rsidR="00AF1390" w:rsidRPr="00386410" w:rsidRDefault="00AF1390" w:rsidP="00511575">
      <w:pPr>
        <w:keepNext/>
        <w:rPr>
          <w:rFonts w:cs="Arial"/>
          <w:szCs w:val="22"/>
        </w:rPr>
      </w:pPr>
      <w:r w:rsidRPr="00386410">
        <w:rPr>
          <w:rFonts w:cs="Arial"/>
          <w:szCs w:val="22"/>
        </w:rPr>
        <w:t>V Chomutově dne</w:t>
      </w:r>
      <w:r>
        <w:rPr>
          <w:rFonts w:cs="Arial"/>
          <w:szCs w:val="22"/>
        </w:rPr>
        <w:tab/>
      </w:r>
      <w:r>
        <w:rPr>
          <w:rFonts w:cs="Arial"/>
          <w:szCs w:val="22"/>
        </w:rPr>
        <w:tab/>
      </w:r>
      <w:r w:rsidRPr="00386410">
        <w:rPr>
          <w:rFonts w:cs="Arial"/>
          <w:szCs w:val="22"/>
        </w:rPr>
        <w:tab/>
      </w:r>
      <w:r w:rsidRPr="00386410">
        <w:rPr>
          <w:rFonts w:cs="Arial"/>
          <w:szCs w:val="22"/>
        </w:rPr>
        <w:tab/>
      </w:r>
      <w:r w:rsidRPr="00386410">
        <w:rPr>
          <w:rFonts w:cs="Arial"/>
          <w:szCs w:val="22"/>
        </w:rPr>
        <w:tab/>
      </w:r>
      <w:r w:rsidR="00511575">
        <w:rPr>
          <w:rFonts w:cs="Arial"/>
          <w:szCs w:val="22"/>
        </w:rPr>
        <w:tab/>
      </w:r>
      <w:r w:rsidRPr="00386410">
        <w:rPr>
          <w:rFonts w:cs="Arial"/>
          <w:szCs w:val="22"/>
        </w:rPr>
        <w:t>V</w:t>
      </w:r>
      <w:r w:rsidR="00D017A4">
        <w:rPr>
          <w:rFonts w:cs="Arial"/>
          <w:szCs w:val="22"/>
        </w:rPr>
        <w:t xml:space="preserve"> Praze </w:t>
      </w:r>
      <w:r w:rsidRPr="00386410">
        <w:rPr>
          <w:rFonts w:cs="Arial"/>
          <w:szCs w:val="22"/>
        </w:rPr>
        <w:t>dne</w:t>
      </w:r>
      <w:r>
        <w:rPr>
          <w:rFonts w:cs="Arial"/>
          <w:szCs w:val="22"/>
        </w:rPr>
        <w:t xml:space="preserve"> </w:t>
      </w:r>
    </w:p>
    <w:p w14:paraId="3CB0B454" w14:textId="77777777" w:rsidR="00AF1390" w:rsidRPr="00386410" w:rsidRDefault="00AF1390" w:rsidP="00511575">
      <w:pPr>
        <w:keepNext/>
        <w:rPr>
          <w:rFonts w:cs="Arial"/>
          <w:szCs w:val="22"/>
        </w:rPr>
      </w:pPr>
    </w:p>
    <w:p w14:paraId="10131EF7" w14:textId="77777777" w:rsidR="00AF1390" w:rsidRDefault="00AF1390" w:rsidP="00511575">
      <w:pPr>
        <w:keepNext/>
        <w:rPr>
          <w:rFonts w:cs="Arial"/>
          <w:szCs w:val="22"/>
        </w:rPr>
      </w:pPr>
    </w:p>
    <w:p w14:paraId="4897999C" w14:textId="77777777" w:rsidR="00AF1390" w:rsidRDefault="00AF1390" w:rsidP="00511575">
      <w:pPr>
        <w:keepNext/>
        <w:rPr>
          <w:rFonts w:cs="Arial"/>
          <w:szCs w:val="22"/>
        </w:rPr>
      </w:pPr>
    </w:p>
    <w:p w14:paraId="7AECD221" w14:textId="77777777" w:rsidR="00AF1390" w:rsidRDefault="00AF1390" w:rsidP="00511575">
      <w:pPr>
        <w:tabs>
          <w:tab w:val="left" w:pos="3960"/>
          <w:tab w:val="right" w:pos="9049"/>
        </w:tabs>
        <w:spacing w:line="300" w:lineRule="atLeast"/>
        <w:rPr>
          <w:rFonts w:cs="Arial"/>
          <w:color w:val="000000"/>
          <w:szCs w:val="22"/>
        </w:rPr>
      </w:pPr>
    </w:p>
    <w:p w14:paraId="6A4641BC" w14:textId="65E6B6FD" w:rsidR="00AF1390" w:rsidRPr="005C192A" w:rsidRDefault="00AF1390" w:rsidP="00511575">
      <w:pPr>
        <w:rPr>
          <w:rFonts w:cs="Arial"/>
          <w:szCs w:val="22"/>
        </w:rPr>
      </w:pPr>
      <w:r w:rsidRPr="005C192A">
        <w:rPr>
          <w:rFonts w:cs="Arial"/>
          <w:szCs w:val="22"/>
        </w:rPr>
        <w:t>……………………………………</w:t>
      </w:r>
      <w:r>
        <w:rPr>
          <w:rFonts w:cs="Arial"/>
          <w:szCs w:val="22"/>
        </w:rPr>
        <w:tab/>
      </w:r>
      <w:r>
        <w:rPr>
          <w:rFonts w:cs="Arial"/>
          <w:szCs w:val="22"/>
        </w:rPr>
        <w:tab/>
      </w:r>
      <w:r>
        <w:rPr>
          <w:rFonts w:cs="Arial"/>
          <w:szCs w:val="22"/>
        </w:rPr>
        <w:tab/>
      </w:r>
      <w:r w:rsidR="00511575">
        <w:rPr>
          <w:rFonts w:cs="Arial"/>
          <w:szCs w:val="22"/>
        </w:rPr>
        <w:tab/>
      </w:r>
      <w:r w:rsidRPr="005C192A">
        <w:rPr>
          <w:rFonts w:cs="Arial"/>
          <w:szCs w:val="22"/>
        </w:rPr>
        <w:t>…………………………………….</w:t>
      </w:r>
    </w:p>
    <w:p w14:paraId="5F567820" w14:textId="2AACBF45" w:rsidR="00AF1390" w:rsidRPr="00A9202A" w:rsidRDefault="00AF1390" w:rsidP="00511575">
      <w:pPr>
        <w:rPr>
          <w:rFonts w:cs="Arial"/>
          <w:szCs w:val="22"/>
        </w:rPr>
      </w:pPr>
      <w:bookmarkStart w:id="3" w:name="_GoBack"/>
      <w:bookmarkEnd w:id="3"/>
      <w:r w:rsidRPr="00A9202A">
        <w:rPr>
          <w:rFonts w:cs="Arial"/>
          <w:szCs w:val="22"/>
        </w:rPr>
        <w:t>investiční ředitel</w:t>
      </w:r>
      <w:r w:rsidRPr="00A9202A">
        <w:rPr>
          <w:rFonts w:cs="Arial"/>
          <w:szCs w:val="22"/>
        </w:rPr>
        <w:tab/>
      </w:r>
      <w:r w:rsidRPr="00A9202A">
        <w:rPr>
          <w:rFonts w:cs="Arial"/>
          <w:szCs w:val="22"/>
        </w:rPr>
        <w:tab/>
      </w:r>
      <w:r w:rsidRPr="00A9202A">
        <w:rPr>
          <w:rFonts w:cs="Arial"/>
          <w:szCs w:val="22"/>
        </w:rPr>
        <w:tab/>
      </w:r>
      <w:r w:rsidRPr="00A9202A">
        <w:rPr>
          <w:rFonts w:cs="Arial"/>
          <w:szCs w:val="22"/>
        </w:rPr>
        <w:tab/>
      </w:r>
      <w:r w:rsidRPr="00A9202A">
        <w:rPr>
          <w:rFonts w:cs="Arial"/>
          <w:szCs w:val="22"/>
        </w:rPr>
        <w:tab/>
      </w:r>
      <w:r w:rsidR="00511575">
        <w:rPr>
          <w:rFonts w:cs="Arial"/>
          <w:szCs w:val="22"/>
        </w:rPr>
        <w:tab/>
      </w:r>
      <w:r>
        <w:rPr>
          <w:rFonts w:cs="Arial"/>
          <w:szCs w:val="22"/>
        </w:rPr>
        <w:t>j</w:t>
      </w:r>
      <w:r w:rsidRPr="00A9202A">
        <w:rPr>
          <w:rFonts w:cs="Arial"/>
          <w:szCs w:val="22"/>
        </w:rPr>
        <w:t>ednatel společnosti</w:t>
      </w:r>
    </w:p>
    <w:p w14:paraId="134B4975" w14:textId="09BFBFF8" w:rsidR="00AF1390" w:rsidRDefault="00AF1390" w:rsidP="00511575">
      <w:pPr>
        <w:rPr>
          <w:rFonts w:cs="Arial"/>
          <w:szCs w:val="22"/>
        </w:rPr>
      </w:pPr>
      <w:r w:rsidRPr="00A9202A">
        <w:rPr>
          <w:rFonts w:cs="Arial"/>
          <w:szCs w:val="22"/>
        </w:rPr>
        <w:t>Povodí Ohře, státní podnik</w:t>
      </w:r>
      <w:r w:rsidRPr="00A9202A">
        <w:rPr>
          <w:rFonts w:cs="Arial"/>
          <w:szCs w:val="22"/>
        </w:rPr>
        <w:tab/>
        <w:t xml:space="preserve"> </w:t>
      </w:r>
      <w:r w:rsidRPr="00A9202A">
        <w:rPr>
          <w:rFonts w:cs="Arial"/>
          <w:szCs w:val="22"/>
        </w:rPr>
        <w:tab/>
      </w:r>
      <w:r w:rsidRPr="00A9202A">
        <w:rPr>
          <w:rFonts w:cs="Arial"/>
          <w:szCs w:val="22"/>
        </w:rPr>
        <w:tab/>
      </w:r>
      <w:r w:rsidRPr="00A9202A">
        <w:rPr>
          <w:rFonts w:cs="Arial"/>
          <w:szCs w:val="22"/>
        </w:rPr>
        <w:tab/>
      </w:r>
      <w:r w:rsidR="00511575">
        <w:rPr>
          <w:rFonts w:cs="Arial"/>
          <w:szCs w:val="22"/>
        </w:rPr>
        <w:tab/>
      </w:r>
      <w:r w:rsidR="00D41C85">
        <w:rPr>
          <w:rFonts w:cs="Arial"/>
          <w:szCs w:val="22"/>
        </w:rPr>
        <w:t>KV+MV AQUA spol. s r.o.</w:t>
      </w:r>
      <w:r w:rsidRPr="00A9202A">
        <w:rPr>
          <w:rFonts w:cs="Arial"/>
          <w:szCs w:val="22"/>
        </w:rPr>
        <w:tab/>
      </w:r>
    </w:p>
    <w:p w14:paraId="4A4DBB36" w14:textId="77777777" w:rsidR="00AF1390" w:rsidRDefault="00AF1390" w:rsidP="00511575">
      <w:pPr>
        <w:rPr>
          <w:rFonts w:cs="Arial"/>
          <w:szCs w:val="22"/>
        </w:rPr>
      </w:pPr>
    </w:p>
    <w:p w14:paraId="2313D8D1" w14:textId="6E7267AF" w:rsidR="00AF1390" w:rsidRPr="00386410" w:rsidRDefault="00AF1390" w:rsidP="00511575">
      <w:pPr>
        <w:keepNext/>
        <w:rPr>
          <w:rFonts w:cs="Arial"/>
          <w:szCs w:val="22"/>
        </w:rPr>
      </w:pPr>
      <w:r w:rsidRPr="00386410">
        <w:rPr>
          <w:rFonts w:cs="Arial"/>
          <w:szCs w:val="22"/>
        </w:rPr>
        <w:t xml:space="preserve">oprávněný zástupce </w:t>
      </w:r>
      <w:r>
        <w:rPr>
          <w:rFonts w:cs="Arial"/>
          <w:szCs w:val="22"/>
        </w:rPr>
        <w:t>objednatel</w:t>
      </w:r>
      <w:r w:rsidRPr="00386410">
        <w:rPr>
          <w:rFonts w:cs="Arial"/>
          <w:szCs w:val="22"/>
        </w:rPr>
        <w:t>e</w:t>
      </w:r>
      <w:r w:rsidRPr="00386410">
        <w:rPr>
          <w:rFonts w:cs="Arial"/>
          <w:szCs w:val="22"/>
        </w:rPr>
        <w:tab/>
      </w:r>
      <w:r w:rsidRPr="00386410">
        <w:rPr>
          <w:rFonts w:cs="Arial"/>
          <w:szCs w:val="22"/>
        </w:rPr>
        <w:tab/>
      </w:r>
      <w:r w:rsidRPr="00386410">
        <w:rPr>
          <w:rFonts w:cs="Arial"/>
          <w:szCs w:val="22"/>
        </w:rPr>
        <w:tab/>
      </w:r>
      <w:r w:rsidR="00511575">
        <w:rPr>
          <w:rFonts w:cs="Arial"/>
          <w:szCs w:val="22"/>
        </w:rPr>
        <w:tab/>
      </w:r>
      <w:r w:rsidRPr="00386410">
        <w:rPr>
          <w:rFonts w:cs="Arial"/>
          <w:szCs w:val="22"/>
        </w:rPr>
        <w:t xml:space="preserve">oprávněný zástupce </w:t>
      </w:r>
      <w:r>
        <w:rPr>
          <w:rFonts w:cs="Arial"/>
          <w:szCs w:val="22"/>
        </w:rPr>
        <w:t>zhotovitele</w:t>
      </w:r>
    </w:p>
    <w:p w14:paraId="3E0F6F47" w14:textId="23CC1775" w:rsidR="009D1181" w:rsidRDefault="009D1181" w:rsidP="00511575">
      <w:pPr>
        <w:tabs>
          <w:tab w:val="left" w:pos="4820"/>
        </w:tabs>
        <w:autoSpaceDE w:val="0"/>
        <w:autoSpaceDN w:val="0"/>
        <w:adjustRightInd w:val="0"/>
        <w:ind w:left="426"/>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C611" w14:textId="77777777" w:rsidR="00482401" w:rsidRDefault="00482401">
      <w:r>
        <w:separator/>
      </w:r>
    </w:p>
  </w:endnote>
  <w:endnote w:type="continuationSeparator" w:id="0">
    <w:p w14:paraId="5816FC76" w14:textId="77777777" w:rsidR="00482401" w:rsidRDefault="0048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0678" w14:textId="77777777" w:rsidR="00482401" w:rsidRDefault="00482401">
      <w:r>
        <w:separator/>
      </w:r>
    </w:p>
  </w:footnote>
  <w:footnote w:type="continuationSeparator" w:id="0">
    <w:p w14:paraId="0C3BDB19" w14:textId="77777777" w:rsidR="00482401" w:rsidRDefault="0048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5EF7C8D"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7F7784">
      <w:rPr>
        <w:rFonts w:cs="Arial"/>
        <w:sz w:val="18"/>
        <w:szCs w:val="18"/>
      </w:rPr>
      <w:t>704</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19"/>
    <w:multiLevelType w:val="hybridMultilevel"/>
    <w:tmpl w:val="9D82F154"/>
    <w:lvl w:ilvl="0" w:tplc="B36CA2D8">
      <w:start w:val="1"/>
      <w:numFmt w:val="decimal"/>
      <w:lvlText w:val="%1."/>
      <w:lvlJc w:val="left"/>
      <w:pPr>
        <w:tabs>
          <w:tab w:val="num" w:pos="861"/>
        </w:tabs>
        <w:ind w:left="861" w:hanging="360"/>
      </w:pPr>
      <w:rPr>
        <w:rFonts w:hint="default"/>
        <w:b w:val="0"/>
      </w:rPr>
    </w:lvl>
    <w:lvl w:ilvl="1" w:tplc="04050019" w:tentative="1">
      <w:start w:val="1"/>
      <w:numFmt w:val="lowerLetter"/>
      <w:lvlText w:val="%2."/>
      <w:lvlJc w:val="left"/>
      <w:pPr>
        <w:tabs>
          <w:tab w:val="num" w:pos="1221"/>
        </w:tabs>
        <w:ind w:left="1221" w:hanging="360"/>
      </w:pPr>
    </w:lvl>
    <w:lvl w:ilvl="2" w:tplc="0405001B" w:tentative="1">
      <w:start w:val="1"/>
      <w:numFmt w:val="lowerRoman"/>
      <w:lvlText w:val="%3."/>
      <w:lvlJc w:val="right"/>
      <w:pPr>
        <w:tabs>
          <w:tab w:val="num" w:pos="1941"/>
        </w:tabs>
        <w:ind w:left="1941" w:hanging="180"/>
      </w:pPr>
    </w:lvl>
    <w:lvl w:ilvl="3" w:tplc="0405000F" w:tentative="1">
      <w:start w:val="1"/>
      <w:numFmt w:val="decimal"/>
      <w:lvlText w:val="%4."/>
      <w:lvlJc w:val="left"/>
      <w:pPr>
        <w:tabs>
          <w:tab w:val="num" w:pos="2661"/>
        </w:tabs>
        <w:ind w:left="2661" w:hanging="360"/>
      </w:pPr>
    </w:lvl>
    <w:lvl w:ilvl="4" w:tplc="04050019" w:tentative="1">
      <w:start w:val="1"/>
      <w:numFmt w:val="lowerLetter"/>
      <w:lvlText w:val="%5."/>
      <w:lvlJc w:val="left"/>
      <w:pPr>
        <w:tabs>
          <w:tab w:val="num" w:pos="3381"/>
        </w:tabs>
        <w:ind w:left="3381" w:hanging="360"/>
      </w:pPr>
    </w:lvl>
    <w:lvl w:ilvl="5" w:tplc="0405001B" w:tentative="1">
      <w:start w:val="1"/>
      <w:numFmt w:val="lowerRoman"/>
      <w:lvlText w:val="%6."/>
      <w:lvlJc w:val="right"/>
      <w:pPr>
        <w:tabs>
          <w:tab w:val="num" w:pos="4101"/>
        </w:tabs>
        <w:ind w:left="4101" w:hanging="180"/>
      </w:pPr>
    </w:lvl>
    <w:lvl w:ilvl="6" w:tplc="0405000F" w:tentative="1">
      <w:start w:val="1"/>
      <w:numFmt w:val="decimal"/>
      <w:lvlText w:val="%7."/>
      <w:lvlJc w:val="left"/>
      <w:pPr>
        <w:tabs>
          <w:tab w:val="num" w:pos="4821"/>
        </w:tabs>
        <w:ind w:left="4821" w:hanging="360"/>
      </w:pPr>
    </w:lvl>
    <w:lvl w:ilvl="7" w:tplc="04050019" w:tentative="1">
      <w:start w:val="1"/>
      <w:numFmt w:val="lowerLetter"/>
      <w:lvlText w:val="%8."/>
      <w:lvlJc w:val="left"/>
      <w:pPr>
        <w:tabs>
          <w:tab w:val="num" w:pos="5541"/>
        </w:tabs>
        <w:ind w:left="5541" w:hanging="360"/>
      </w:pPr>
    </w:lvl>
    <w:lvl w:ilvl="8" w:tplc="0405001B" w:tentative="1">
      <w:start w:val="1"/>
      <w:numFmt w:val="lowerRoman"/>
      <w:lvlText w:val="%9."/>
      <w:lvlJc w:val="right"/>
      <w:pPr>
        <w:tabs>
          <w:tab w:val="num" w:pos="6261"/>
        </w:tabs>
        <w:ind w:left="6261" w:hanging="180"/>
      </w:pPr>
    </w:lvl>
  </w:abstractNum>
  <w:abstractNum w:abstractNumId="1"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7"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8" w15:restartNumberingAfterBreak="0">
    <w:nsid w:val="78E8321F"/>
    <w:multiLevelType w:val="hybridMultilevel"/>
    <w:tmpl w:val="F72AB124"/>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0"/>
  </w:num>
  <w:num w:numId="3">
    <w:abstractNumId w:val="11"/>
  </w:num>
  <w:num w:numId="4">
    <w:abstractNumId w:val="9"/>
  </w:num>
  <w:num w:numId="5">
    <w:abstractNumId w:val="2"/>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530B"/>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E30D2"/>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2401"/>
    <w:rsid w:val="00487108"/>
    <w:rsid w:val="00487F0A"/>
    <w:rsid w:val="004919DA"/>
    <w:rsid w:val="00492030"/>
    <w:rsid w:val="00493010"/>
    <w:rsid w:val="00495C0F"/>
    <w:rsid w:val="004A2FD4"/>
    <w:rsid w:val="004A4786"/>
    <w:rsid w:val="004A4A8A"/>
    <w:rsid w:val="004B6B87"/>
    <w:rsid w:val="004C0B09"/>
    <w:rsid w:val="004C304B"/>
    <w:rsid w:val="004C396C"/>
    <w:rsid w:val="004C50D3"/>
    <w:rsid w:val="004D1CF5"/>
    <w:rsid w:val="004D29F2"/>
    <w:rsid w:val="004D3F48"/>
    <w:rsid w:val="004E0013"/>
    <w:rsid w:val="004E4E40"/>
    <w:rsid w:val="004E69FF"/>
    <w:rsid w:val="004F076C"/>
    <w:rsid w:val="004F576E"/>
    <w:rsid w:val="004F78FB"/>
    <w:rsid w:val="00501673"/>
    <w:rsid w:val="00501F54"/>
    <w:rsid w:val="00504E42"/>
    <w:rsid w:val="0050518E"/>
    <w:rsid w:val="0050601E"/>
    <w:rsid w:val="00511575"/>
    <w:rsid w:val="00522424"/>
    <w:rsid w:val="0052371F"/>
    <w:rsid w:val="0052468C"/>
    <w:rsid w:val="005257D4"/>
    <w:rsid w:val="00527558"/>
    <w:rsid w:val="00531101"/>
    <w:rsid w:val="0053132F"/>
    <w:rsid w:val="0053391A"/>
    <w:rsid w:val="005368F8"/>
    <w:rsid w:val="00545374"/>
    <w:rsid w:val="00550CEA"/>
    <w:rsid w:val="0055206D"/>
    <w:rsid w:val="00561238"/>
    <w:rsid w:val="00566190"/>
    <w:rsid w:val="00570C17"/>
    <w:rsid w:val="00576944"/>
    <w:rsid w:val="0058265B"/>
    <w:rsid w:val="0058552C"/>
    <w:rsid w:val="00590B52"/>
    <w:rsid w:val="00590FCA"/>
    <w:rsid w:val="00594B1E"/>
    <w:rsid w:val="005A6E12"/>
    <w:rsid w:val="005C3E55"/>
    <w:rsid w:val="005C644A"/>
    <w:rsid w:val="005D5110"/>
    <w:rsid w:val="005E2FD1"/>
    <w:rsid w:val="005F0DA7"/>
    <w:rsid w:val="005F18F6"/>
    <w:rsid w:val="005F1F2B"/>
    <w:rsid w:val="00605814"/>
    <w:rsid w:val="00610BB5"/>
    <w:rsid w:val="0061213B"/>
    <w:rsid w:val="00617CEC"/>
    <w:rsid w:val="00624017"/>
    <w:rsid w:val="00625B22"/>
    <w:rsid w:val="00625D84"/>
    <w:rsid w:val="0062654F"/>
    <w:rsid w:val="00631A4F"/>
    <w:rsid w:val="006324A3"/>
    <w:rsid w:val="0063291C"/>
    <w:rsid w:val="00635211"/>
    <w:rsid w:val="00637062"/>
    <w:rsid w:val="00644E8C"/>
    <w:rsid w:val="00651B0B"/>
    <w:rsid w:val="00653F71"/>
    <w:rsid w:val="00660ADB"/>
    <w:rsid w:val="00665EC1"/>
    <w:rsid w:val="00670038"/>
    <w:rsid w:val="006710D1"/>
    <w:rsid w:val="00671A7E"/>
    <w:rsid w:val="00672340"/>
    <w:rsid w:val="00675100"/>
    <w:rsid w:val="00680069"/>
    <w:rsid w:val="006835A9"/>
    <w:rsid w:val="00687482"/>
    <w:rsid w:val="00694B5A"/>
    <w:rsid w:val="00696CFE"/>
    <w:rsid w:val="00696F34"/>
    <w:rsid w:val="006977B4"/>
    <w:rsid w:val="00697A3F"/>
    <w:rsid w:val="006A0BD5"/>
    <w:rsid w:val="006A58B6"/>
    <w:rsid w:val="006A7E38"/>
    <w:rsid w:val="006C1268"/>
    <w:rsid w:val="006C239C"/>
    <w:rsid w:val="006C2E78"/>
    <w:rsid w:val="006C3561"/>
    <w:rsid w:val="006C3692"/>
    <w:rsid w:val="006C5F61"/>
    <w:rsid w:val="006C602E"/>
    <w:rsid w:val="006D0F7D"/>
    <w:rsid w:val="006D3D75"/>
    <w:rsid w:val="006E062C"/>
    <w:rsid w:val="006E0D2A"/>
    <w:rsid w:val="006E6E68"/>
    <w:rsid w:val="006F3DAF"/>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54E7"/>
    <w:rsid w:val="00776584"/>
    <w:rsid w:val="00776B6D"/>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7F7784"/>
    <w:rsid w:val="00800E6D"/>
    <w:rsid w:val="00820923"/>
    <w:rsid w:val="00822518"/>
    <w:rsid w:val="00822F3C"/>
    <w:rsid w:val="00824A92"/>
    <w:rsid w:val="0082518C"/>
    <w:rsid w:val="008338EB"/>
    <w:rsid w:val="00837762"/>
    <w:rsid w:val="00840DA5"/>
    <w:rsid w:val="00841258"/>
    <w:rsid w:val="008432CA"/>
    <w:rsid w:val="008432E7"/>
    <w:rsid w:val="00864E08"/>
    <w:rsid w:val="0086619E"/>
    <w:rsid w:val="00867A07"/>
    <w:rsid w:val="008771EF"/>
    <w:rsid w:val="00877509"/>
    <w:rsid w:val="00877E0E"/>
    <w:rsid w:val="008850E7"/>
    <w:rsid w:val="00886472"/>
    <w:rsid w:val="00886E65"/>
    <w:rsid w:val="00887DDF"/>
    <w:rsid w:val="00894ED6"/>
    <w:rsid w:val="008A0E5D"/>
    <w:rsid w:val="008A1B04"/>
    <w:rsid w:val="008A3C21"/>
    <w:rsid w:val="008A4465"/>
    <w:rsid w:val="008A646C"/>
    <w:rsid w:val="008B0740"/>
    <w:rsid w:val="008B1BF9"/>
    <w:rsid w:val="008B4073"/>
    <w:rsid w:val="008B53AF"/>
    <w:rsid w:val="008C4F45"/>
    <w:rsid w:val="008D0722"/>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D1181"/>
    <w:rsid w:val="009D12DE"/>
    <w:rsid w:val="009D1968"/>
    <w:rsid w:val="009D3592"/>
    <w:rsid w:val="009D78F9"/>
    <w:rsid w:val="009F4251"/>
    <w:rsid w:val="009F42F0"/>
    <w:rsid w:val="009F4727"/>
    <w:rsid w:val="009F6E2C"/>
    <w:rsid w:val="00A0137D"/>
    <w:rsid w:val="00A0281B"/>
    <w:rsid w:val="00A057BF"/>
    <w:rsid w:val="00A058DF"/>
    <w:rsid w:val="00A075C1"/>
    <w:rsid w:val="00A16062"/>
    <w:rsid w:val="00A1615F"/>
    <w:rsid w:val="00A17BE4"/>
    <w:rsid w:val="00A206AE"/>
    <w:rsid w:val="00A208DC"/>
    <w:rsid w:val="00A304FA"/>
    <w:rsid w:val="00A31015"/>
    <w:rsid w:val="00A31E98"/>
    <w:rsid w:val="00A34A6E"/>
    <w:rsid w:val="00A36768"/>
    <w:rsid w:val="00A411F0"/>
    <w:rsid w:val="00A415F1"/>
    <w:rsid w:val="00A451E8"/>
    <w:rsid w:val="00A46384"/>
    <w:rsid w:val="00A53B62"/>
    <w:rsid w:val="00A55FD5"/>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1390"/>
    <w:rsid w:val="00AF3C6E"/>
    <w:rsid w:val="00AF46C9"/>
    <w:rsid w:val="00AF6F90"/>
    <w:rsid w:val="00AF777B"/>
    <w:rsid w:val="00AF7E28"/>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155F"/>
    <w:rsid w:val="00B535AE"/>
    <w:rsid w:val="00B5360D"/>
    <w:rsid w:val="00B56AAB"/>
    <w:rsid w:val="00B739FD"/>
    <w:rsid w:val="00B76263"/>
    <w:rsid w:val="00B7669F"/>
    <w:rsid w:val="00B840BD"/>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63E5"/>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17A4"/>
    <w:rsid w:val="00D201C6"/>
    <w:rsid w:val="00D2260A"/>
    <w:rsid w:val="00D23CAD"/>
    <w:rsid w:val="00D307AF"/>
    <w:rsid w:val="00D313C7"/>
    <w:rsid w:val="00D331F9"/>
    <w:rsid w:val="00D36857"/>
    <w:rsid w:val="00D41C85"/>
    <w:rsid w:val="00D420C2"/>
    <w:rsid w:val="00D52716"/>
    <w:rsid w:val="00D5749B"/>
    <w:rsid w:val="00D671C0"/>
    <w:rsid w:val="00D72B6A"/>
    <w:rsid w:val="00D74A50"/>
    <w:rsid w:val="00D76881"/>
    <w:rsid w:val="00DA2CAA"/>
    <w:rsid w:val="00DA3527"/>
    <w:rsid w:val="00DA46ED"/>
    <w:rsid w:val="00DA4E8A"/>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4562"/>
    <w:rsid w:val="00EC5B72"/>
    <w:rsid w:val="00EC62BB"/>
    <w:rsid w:val="00ED1B27"/>
    <w:rsid w:val="00ED461C"/>
    <w:rsid w:val="00EE4014"/>
    <w:rsid w:val="00EE539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39B0"/>
    <w:rsid w:val="00F746C6"/>
    <w:rsid w:val="00F755FC"/>
    <w:rsid w:val="00F757DA"/>
    <w:rsid w:val="00F860CB"/>
    <w:rsid w:val="00F92EAC"/>
    <w:rsid w:val="00F93FDB"/>
    <w:rsid w:val="00FA145F"/>
    <w:rsid w:val="00FA2FB8"/>
    <w:rsid w:val="00FA5661"/>
    <w:rsid w:val="00FB6921"/>
    <w:rsid w:val="00FC2105"/>
    <w:rsid w:val="00FC3E1B"/>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paragraph" w:styleId="Zkladntextodsazen">
    <w:name w:val="Body Text Indent"/>
    <w:basedOn w:val="Normln"/>
    <w:link w:val="ZkladntextodsazenChar"/>
    <w:rsid w:val="00D41C85"/>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D41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3448</Words>
  <Characters>20347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2021-07-14T04:58:00Z</dcterms:created>
  <dcterms:modified xsi:type="dcterms:W3CDTF">2021-07-14T05:00:00Z</dcterms:modified>
</cp:coreProperties>
</file>