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proofErr w:type="gramStart"/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</w:t>
      </w:r>
      <w:proofErr w:type="gramEnd"/>
      <w:r w:rsidR="00B540D1">
        <w:rPr>
          <w:b/>
        </w:rPr>
        <w:t xml:space="preserve">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</w:t>
      </w:r>
      <w:proofErr w:type="gramStart"/>
      <w:r>
        <w:t xml:space="preserve">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</w:t>
      </w:r>
      <w:proofErr w:type="gramEnd"/>
      <w:r w:rsidR="00B540D1">
        <w:t xml:space="preserve"> 62, Kolín V.,</w:t>
      </w:r>
      <w:r w:rsidR="009814BD">
        <w:t xml:space="preserve"> 280 02</w:t>
      </w:r>
    </w:p>
    <w:p w:rsidR="008F07B3" w:rsidRPr="0022734E" w:rsidRDefault="005270D2" w:rsidP="00DB151F">
      <w:proofErr w:type="gramStart"/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  <w:proofErr w:type="gramEnd"/>
    </w:p>
    <w:p w:rsidR="008F07B3" w:rsidRPr="0022734E" w:rsidRDefault="008F07B3" w:rsidP="00DB151F">
      <w:proofErr w:type="gramStart"/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  <w:proofErr w:type="gramEnd"/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</w:t>
      </w:r>
      <w:r w:rsidR="001F223D">
        <w:t xml:space="preserve"> </w:t>
      </w:r>
      <w:r w:rsidR="009814BD">
        <w:t>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</w:t>
      </w:r>
      <w:proofErr w:type="gramStart"/>
      <w:r>
        <w:t xml:space="preserve">účtu :                                                   </w:t>
      </w:r>
      <w:r w:rsidR="009814BD">
        <w:t>2564372319</w:t>
      </w:r>
      <w:r>
        <w:t>/0800</w:t>
      </w:r>
      <w:proofErr w:type="gramEnd"/>
    </w:p>
    <w:p w:rsidR="00EB738B" w:rsidRPr="0022734E" w:rsidRDefault="00272A06" w:rsidP="00DB151F">
      <w:r>
        <w:t xml:space="preserve">Na straně </w:t>
      </w:r>
      <w:proofErr w:type="gramStart"/>
      <w:r>
        <w:t>jedné                                            (dále</w:t>
      </w:r>
      <w:proofErr w:type="gramEnd"/>
      <w:r>
        <w:t xml:space="preserve">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proofErr w:type="gramStart"/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863CBD">
        <w:rPr>
          <w:b/>
        </w:rPr>
        <w:t>Petr</w:t>
      </w:r>
      <w:proofErr w:type="gramEnd"/>
      <w:r w:rsidR="00863CBD">
        <w:rPr>
          <w:b/>
        </w:rPr>
        <w:t xml:space="preserve"> Linhart</w:t>
      </w:r>
    </w:p>
    <w:p w:rsidR="00B3419A" w:rsidRDefault="00272A06" w:rsidP="00DB151F">
      <w:r>
        <w:t xml:space="preserve"> Se </w:t>
      </w:r>
      <w:proofErr w:type="gramStart"/>
      <w:r>
        <w:t xml:space="preserve">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192488">
        <w:t>Tři</w:t>
      </w:r>
      <w:proofErr w:type="gramEnd"/>
      <w:r w:rsidR="00192488">
        <w:t xml:space="preserve"> Dvory 310</w:t>
      </w:r>
    </w:p>
    <w:p w:rsidR="00B3419A" w:rsidRPr="007D6EE7" w:rsidRDefault="00272A06" w:rsidP="00DB151F">
      <w:r>
        <w:t xml:space="preserve"> Místo </w:t>
      </w:r>
      <w:proofErr w:type="gramStart"/>
      <w:r>
        <w:t>podnikání :</w:t>
      </w:r>
      <w:r w:rsidR="007E3D3B">
        <w:t xml:space="preserve">                     </w:t>
      </w:r>
      <w:r w:rsidR="00681A0B">
        <w:t xml:space="preserve">   </w:t>
      </w:r>
      <w:r w:rsidR="004C4201">
        <w:t xml:space="preserve">  </w:t>
      </w:r>
      <w:r w:rsidR="00192488">
        <w:t xml:space="preserve">                280 02</w:t>
      </w:r>
      <w:proofErr w:type="gramEnd"/>
      <w:r w:rsidR="00192488">
        <w:t xml:space="preserve"> Kolín 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863CBD">
        <w:t>743 73 251</w:t>
      </w:r>
    </w:p>
    <w:p w:rsidR="00B3419A" w:rsidRDefault="00272A06" w:rsidP="00DB151F">
      <w:r>
        <w:t xml:space="preserve"> </w:t>
      </w:r>
      <w:proofErr w:type="gramStart"/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863CBD">
        <w:t>CZ</w:t>
      </w:r>
      <w:proofErr w:type="gramEnd"/>
      <w:r w:rsidR="00863CBD">
        <w:t xml:space="preserve"> 7006175242</w:t>
      </w:r>
      <w:r w:rsidR="00FB7AA0" w:rsidRPr="007D6EE7">
        <w:tab/>
      </w:r>
    </w:p>
    <w:p w:rsidR="00681A0B" w:rsidRPr="007D6EE7" w:rsidRDefault="00681A0B" w:rsidP="00DB151F"/>
    <w:p w:rsidR="00B3419A" w:rsidRPr="007D6EE7" w:rsidRDefault="00272A06" w:rsidP="00DB151F">
      <w:r>
        <w:t xml:space="preserve">Na straně </w:t>
      </w:r>
      <w:proofErr w:type="gramStart"/>
      <w:r>
        <w:t>druhé                                              (dále</w:t>
      </w:r>
      <w:proofErr w:type="gramEnd"/>
      <w:r>
        <w:t xml:space="preserve">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</w:t>
      </w:r>
      <w:proofErr w:type="gramStart"/>
      <w:r w:rsidRPr="00742B0E">
        <w:t xml:space="preserve">smlouvy </w:t>
      </w:r>
      <w:r>
        <w:rPr>
          <w:rFonts w:ascii="Arial" w:hAnsi="Arial" w:cs="Arial"/>
          <w:sz w:val="22"/>
        </w:rPr>
        <w:t xml:space="preserve"> </w:t>
      </w:r>
      <w:r w:rsidRPr="00AE111E">
        <w:t>je</w:t>
      </w:r>
      <w:proofErr w:type="gramEnd"/>
      <w:r w:rsidRPr="00AE111E">
        <w:t xml:space="preserve">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4C4201">
        <w:rPr>
          <w:b/>
          <w:u w:val="single"/>
        </w:rPr>
        <w:t xml:space="preserve"> </w:t>
      </w:r>
      <w:r w:rsidR="00863CBD">
        <w:rPr>
          <w:b/>
          <w:u w:val="single"/>
        </w:rPr>
        <w:t>Výměna svítidel</w:t>
      </w:r>
      <w:r w:rsidR="004C4201">
        <w:rPr>
          <w:b/>
          <w:u w:val="single"/>
        </w:rPr>
        <w:t xml:space="preserve"> na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,Mn</w:t>
      </w:r>
      <w:r w:rsidR="00211D5A">
        <w:rPr>
          <w:b/>
          <w:u w:val="single"/>
        </w:rPr>
        <w:t>i</w:t>
      </w:r>
      <w:r w:rsidR="002835D8">
        <w:rPr>
          <w:b/>
          <w:u w:val="single"/>
        </w:rPr>
        <w:t>chovická 62</w:t>
      </w:r>
      <w:r w:rsidR="00962DDA" w:rsidRPr="00962DDA">
        <w:rPr>
          <w:b/>
          <w:u w:val="single"/>
        </w:rPr>
        <w:t xml:space="preserve"> – </w:t>
      </w:r>
      <w:r w:rsidR="00535B5F">
        <w:rPr>
          <w:b/>
          <w:u w:val="single"/>
        </w:rPr>
        <w:t>stará budova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192488">
        <w:rPr>
          <w:rFonts w:ascii="Times New Roman" w:eastAsia="Times New Roman" w:hAnsi="Times New Roman"/>
          <w:sz w:val="24"/>
          <w:szCs w:val="24"/>
          <w:lang w:eastAsia="cs-CZ"/>
        </w:rPr>
        <w:t>12.7.2021</w:t>
      </w:r>
      <w:proofErr w:type="gramEnd"/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1F223D" w:rsidRDefault="001F223D" w:rsidP="00962DDA">
      <w:pPr>
        <w:jc w:val="both"/>
      </w:pP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lastRenderedPageBreak/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proofErr w:type="gramStart"/>
      <w:r w:rsidR="00962DDA">
        <w:t>je</w:t>
      </w:r>
      <w:r w:rsidR="00C7012F">
        <w:t xml:space="preserve">  </w:t>
      </w:r>
      <w:r w:rsidR="00B540D1">
        <w:t>Základní</w:t>
      </w:r>
      <w:proofErr w:type="gramEnd"/>
      <w:r w:rsidR="00B540D1">
        <w:t xml:space="preserve">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863CBD">
        <w:t xml:space="preserve">   </w:t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535B5F">
        <w:t xml:space="preserve">      218 768,-</w:t>
      </w:r>
      <w:r w:rsidR="00763300" w:rsidRPr="00B8004F">
        <w:t xml:space="preserve">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 xml:space="preserve">, </w:t>
      </w:r>
      <w:proofErr w:type="gramStart"/>
      <w:r w:rsidR="006B5548" w:rsidRPr="00B8004F">
        <w:t>tedy</w:t>
      </w:r>
      <w:r w:rsidR="00E90F0F">
        <w:t xml:space="preserve"> </w:t>
      </w:r>
      <w:r w:rsidR="006B5548" w:rsidRPr="00B8004F">
        <w:t>:</w:t>
      </w:r>
      <w:proofErr w:type="gramEnd"/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A55825">
        <w:t xml:space="preserve"> </w:t>
      </w:r>
      <w:r w:rsidR="00535B5F">
        <w:t>180 800,</w:t>
      </w:r>
      <w:r w:rsidR="00A701DA" w:rsidRPr="00B8004F">
        <w:t>-</w:t>
      </w:r>
      <w:r w:rsidR="006B5548" w:rsidRPr="00B8004F">
        <w:t>Kč</w:t>
      </w:r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535B5F">
        <w:t xml:space="preserve">     37 968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863CBD">
        <w:rPr>
          <w:b/>
        </w:rPr>
        <w:t xml:space="preserve">     </w:t>
      </w:r>
      <w:r w:rsidR="00535B5F">
        <w:rPr>
          <w:b/>
        </w:rPr>
        <w:t xml:space="preserve"> 218 768</w:t>
      </w:r>
      <w:r w:rsidR="00A55825">
        <w:rPr>
          <w:b/>
        </w:rPr>
        <w:t>,-Kč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</w:t>
      </w:r>
      <w:proofErr w:type="gramStart"/>
      <w:r>
        <w:t>této</w:t>
      </w:r>
      <w:proofErr w:type="gramEnd"/>
      <w:r>
        <w:t xml:space="preserve">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</w:t>
      </w:r>
      <w:r>
        <w:lastRenderedPageBreak/>
        <w:t>Zhotovitel upozorní objednavatele na všechny okolnosti, které by mohly vést při 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 xml:space="preserve">Tato smlouva podléhá uveřejnění v registru smluv dle zákona č.340/2015 </w:t>
      </w:r>
      <w:proofErr w:type="gramStart"/>
      <w:r w:rsidR="005E1EA8">
        <w:t>Sb.,o zvláštních</w:t>
      </w:r>
      <w:proofErr w:type="gramEnd"/>
      <w:r w:rsidR="005E1EA8">
        <w:t xml:space="preserve">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</w:t>
      </w:r>
      <w:proofErr w:type="gramStart"/>
      <w:r w:rsidR="005E1EA8">
        <w:t>formátu .</w:t>
      </w:r>
      <w:proofErr w:type="spellStart"/>
      <w:r w:rsidR="005E1EA8">
        <w:t>pdf</w:t>
      </w:r>
      <w:proofErr w:type="spellEnd"/>
      <w:proofErr w:type="gram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  <w:proofErr w:type="gramStart"/>
      <w:r w:rsidR="00535B5F">
        <w:t>11.6</w:t>
      </w:r>
      <w:r w:rsidR="00681A0B">
        <w:t>.</w:t>
      </w:r>
      <w:r w:rsidR="00192488">
        <w:t>2021</w:t>
      </w:r>
      <w:proofErr w:type="gramEnd"/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AC2EC5" w:rsidP="000C052C">
      <w:r>
        <w:t>……………………………………..</w:t>
      </w:r>
      <w:r>
        <w:tab/>
      </w:r>
      <w:r>
        <w:tab/>
      </w:r>
      <w:r>
        <w:tab/>
      </w:r>
      <w:r w:rsidR="00327056" w:rsidRPr="00CD69A0"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D2444B">
        <w:tab/>
      </w:r>
      <w:r w:rsidR="00D2444B">
        <w:tab/>
      </w:r>
      <w:r w:rsidR="00D2444B">
        <w:tab/>
      </w:r>
      <w:r w:rsidR="004C4201">
        <w:tab/>
      </w:r>
      <w:r w:rsidR="004C4201">
        <w:tab/>
      </w:r>
      <w:r w:rsidR="003D2894">
        <w:t xml:space="preserve">           </w:t>
      </w:r>
      <w:r w:rsidR="00863CBD">
        <w:t>Petr Linhart</w:t>
      </w:r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1F223D">
        <w:t>.</w:t>
      </w:r>
      <w:r w:rsidR="009814BD">
        <w:t xml:space="preserve"> Mgr.</w:t>
      </w:r>
      <w:r w:rsidR="001F223D">
        <w:t xml:space="preserve"> </w:t>
      </w:r>
      <w:r w:rsidR="009814BD">
        <w:t xml:space="preserve">Iva </w:t>
      </w:r>
      <w:proofErr w:type="spellStart"/>
      <w:r w:rsidR="009814BD">
        <w:t>Lokajová</w:t>
      </w:r>
      <w:proofErr w:type="spellEnd"/>
      <w:r w:rsidR="00D2444B">
        <w:tab/>
      </w:r>
      <w:r w:rsidR="00863CBD">
        <w:tab/>
      </w:r>
      <w:r w:rsidR="00863CBD">
        <w:tab/>
      </w:r>
      <w:r w:rsidR="00863CBD">
        <w:tab/>
      </w:r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9F" w:rsidRDefault="00B32A9F">
      <w:r>
        <w:separator/>
      </w:r>
    </w:p>
  </w:endnote>
  <w:endnote w:type="continuationSeparator" w:id="0">
    <w:p w:rsidR="00B32A9F" w:rsidRDefault="00B3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9F" w:rsidRDefault="00B32A9F">
      <w:r>
        <w:separator/>
      </w:r>
    </w:p>
  </w:footnote>
  <w:footnote w:type="continuationSeparator" w:id="0">
    <w:p w:rsidR="00B32A9F" w:rsidRDefault="00B32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CF24DC">
      <w:fldChar w:fldCharType="begin"/>
    </w:r>
    <w:r w:rsidR="00756E10">
      <w:instrText xml:space="preserve"> PAGE </w:instrText>
    </w:r>
    <w:r w:rsidR="00CF24DC">
      <w:fldChar w:fldCharType="separate"/>
    </w:r>
    <w:r w:rsidR="00AC2EC5">
      <w:rPr>
        <w:noProof/>
      </w:rPr>
      <w:t>5</w:t>
    </w:r>
    <w:r w:rsidR="00CF24DC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3762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4447F"/>
    <w:rsid w:val="001514EC"/>
    <w:rsid w:val="0015620E"/>
    <w:rsid w:val="00156C30"/>
    <w:rsid w:val="001876AD"/>
    <w:rsid w:val="00187DB6"/>
    <w:rsid w:val="00192488"/>
    <w:rsid w:val="00197CFC"/>
    <w:rsid w:val="001A594B"/>
    <w:rsid w:val="001B45A0"/>
    <w:rsid w:val="001C76EB"/>
    <w:rsid w:val="001D301E"/>
    <w:rsid w:val="001D6831"/>
    <w:rsid w:val="001E5B38"/>
    <w:rsid w:val="001F223D"/>
    <w:rsid w:val="001F2FD6"/>
    <w:rsid w:val="00201B00"/>
    <w:rsid w:val="00211D5A"/>
    <w:rsid w:val="00214AE4"/>
    <w:rsid w:val="0022734E"/>
    <w:rsid w:val="00236BBD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2F7791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2894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2FF4"/>
    <w:rsid w:val="004149D2"/>
    <w:rsid w:val="00425CA1"/>
    <w:rsid w:val="004356C7"/>
    <w:rsid w:val="00440742"/>
    <w:rsid w:val="00444666"/>
    <w:rsid w:val="004669B8"/>
    <w:rsid w:val="0048083A"/>
    <w:rsid w:val="004821E0"/>
    <w:rsid w:val="00487A6C"/>
    <w:rsid w:val="004975A6"/>
    <w:rsid w:val="004A3CCA"/>
    <w:rsid w:val="004A481D"/>
    <w:rsid w:val="004B0139"/>
    <w:rsid w:val="004B27B2"/>
    <w:rsid w:val="004B2A83"/>
    <w:rsid w:val="004B38F9"/>
    <w:rsid w:val="004B3C53"/>
    <w:rsid w:val="004C4201"/>
    <w:rsid w:val="004C6B6A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35B5F"/>
    <w:rsid w:val="00547DE3"/>
    <w:rsid w:val="00563DAD"/>
    <w:rsid w:val="00563DB5"/>
    <w:rsid w:val="0056579C"/>
    <w:rsid w:val="0056784F"/>
    <w:rsid w:val="00577159"/>
    <w:rsid w:val="00577EE6"/>
    <w:rsid w:val="00580409"/>
    <w:rsid w:val="00595356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E632D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81A0B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E5687"/>
    <w:rsid w:val="007F4CAA"/>
    <w:rsid w:val="008436C7"/>
    <w:rsid w:val="00863CBD"/>
    <w:rsid w:val="0087136A"/>
    <w:rsid w:val="00890F56"/>
    <w:rsid w:val="008A53C6"/>
    <w:rsid w:val="008B3798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00E4"/>
    <w:rsid w:val="00A06309"/>
    <w:rsid w:val="00A208A8"/>
    <w:rsid w:val="00A309B0"/>
    <w:rsid w:val="00A33BFE"/>
    <w:rsid w:val="00A35076"/>
    <w:rsid w:val="00A37BCA"/>
    <w:rsid w:val="00A43D69"/>
    <w:rsid w:val="00A52F78"/>
    <w:rsid w:val="00A54C03"/>
    <w:rsid w:val="00A55825"/>
    <w:rsid w:val="00A563AF"/>
    <w:rsid w:val="00A701DA"/>
    <w:rsid w:val="00A7688D"/>
    <w:rsid w:val="00A82D87"/>
    <w:rsid w:val="00A82FD3"/>
    <w:rsid w:val="00A92137"/>
    <w:rsid w:val="00AB3320"/>
    <w:rsid w:val="00AC2EC5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2A9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153C1"/>
    <w:rsid w:val="00C404D4"/>
    <w:rsid w:val="00C6480C"/>
    <w:rsid w:val="00C6509C"/>
    <w:rsid w:val="00C66076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24DC"/>
    <w:rsid w:val="00CF43DF"/>
    <w:rsid w:val="00CF79D7"/>
    <w:rsid w:val="00D00565"/>
    <w:rsid w:val="00D2444B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A7CBF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57DB4"/>
    <w:rsid w:val="00F646AC"/>
    <w:rsid w:val="00F71F52"/>
    <w:rsid w:val="00F84D99"/>
    <w:rsid w:val="00F87686"/>
    <w:rsid w:val="00FB1851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0780-A09F-4BD3-88B3-357EF68B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6</cp:revision>
  <cp:lastPrinted>2021-06-09T12:20:00Z</cp:lastPrinted>
  <dcterms:created xsi:type="dcterms:W3CDTF">2021-06-04T12:25:00Z</dcterms:created>
  <dcterms:modified xsi:type="dcterms:W3CDTF">2021-07-14T06:49:00Z</dcterms:modified>
</cp:coreProperties>
</file>