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0601BAB5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C34721">
              <w:rPr>
                <w:rFonts w:ascii="Calibri" w:hAnsi="Calibri"/>
                <w:sz w:val="28"/>
              </w:rPr>
              <w:t>4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2D07B89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B702EB">
              <w:rPr>
                <w:rFonts w:ascii="Calibri" w:hAnsi="Calibri"/>
              </w:rPr>
              <w:t>17.6</w:t>
            </w:r>
            <w:r w:rsidR="00280B5D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7059">
              <w:rPr>
                <w:rFonts w:ascii="Calibri" w:hAnsi="Calibri"/>
              </w:rPr>
            </w:r>
            <w:r w:rsidR="0034705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7059">
              <w:rPr>
                <w:rFonts w:ascii="Calibri" w:hAnsi="Calibri"/>
              </w:rPr>
            </w:r>
            <w:r w:rsidR="0034705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7059">
              <w:rPr>
                <w:rFonts w:ascii="Calibri" w:hAnsi="Calibri"/>
              </w:rPr>
            </w:r>
            <w:r w:rsidR="0034705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347059">
              <w:rPr>
                <w:rFonts w:ascii="Calibri" w:hAnsi="Calibri"/>
              </w:rPr>
            </w:r>
            <w:r w:rsidR="0034705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52A61E84" w:rsidR="00B3207B" w:rsidRDefault="00B3207B" w:rsidP="00B3207B">
            <w:pPr>
              <w:spacing w:after="120"/>
            </w:pPr>
            <w:r w:rsidRPr="00280B5D">
              <w:rPr>
                <w:rFonts w:ascii="Calibri" w:hAnsi="Calibri"/>
                <w:b/>
              </w:rPr>
              <w:t xml:space="preserve">Rozpočet ZL </w:t>
            </w:r>
            <w:r w:rsidR="00A4587C" w:rsidRPr="00280B5D">
              <w:rPr>
                <w:rFonts w:ascii="Calibri" w:hAnsi="Calibri"/>
                <w:b/>
              </w:rPr>
              <w:t>4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68A7966F" w14:textId="085FA541" w:rsidR="006840D4" w:rsidRDefault="00280B5D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Úpravy žaluzií</w:t>
            </w:r>
          </w:p>
          <w:p w14:paraId="4BACDAB2" w14:textId="510C8718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4C99D8F6" w14:textId="75697C9A" w:rsidR="00463C44" w:rsidRDefault="00D45845" w:rsidP="00463C44">
            <w:pPr>
              <w:spacing w:after="120"/>
              <w:rPr>
                <w:rFonts w:cstheme="minorHAnsi"/>
              </w:rPr>
            </w:pPr>
            <w:r w:rsidRPr="00280B5D">
              <w:rPr>
                <w:rFonts w:cstheme="minorHAnsi"/>
              </w:rPr>
              <w:t>Projekt</w:t>
            </w:r>
            <w:r w:rsidR="00280B5D" w:rsidRPr="00280B5D">
              <w:rPr>
                <w:rFonts w:cstheme="minorHAnsi"/>
              </w:rPr>
              <w:t xml:space="preserve">em NN je navržena v jednotlivých bytech </w:t>
            </w:r>
            <w:r w:rsidR="00FA5EC8">
              <w:rPr>
                <w:rFonts w:cstheme="minorHAnsi"/>
              </w:rPr>
              <w:t xml:space="preserve">3.NP </w:t>
            </w:r>
            <w:r w:rsidR="00280B5D" w:rsidRPr="00280B5D">
              <w:rPr>
                <w:rFonts w:cstheme="minorHAnsi"/>
              </w:rPr>
              <w:t xml:space="preserve">kabeláž 220V a ukončena </w:t>
            </w:r>
            <w:r w:rsidR="001707EA">
              <w:rPr>
                <w:rFonts w:cstheme="minorHAnsi"/>
              </w:rPr>
              <w:t xml:space="preserve">jediným </w:t>
            </w:r>
            <w:r w:rsidR="00280B5D" w:rsidRPr="00280B5D">
              <w:rPr>
                <w:rFonts w:cstheme="minorHAnsi"/>
              </w:rPr>
              <w:t>spínačem</w:t>
            </w:r>
            <w:r w:rsidR="00280B5D">
              <w:rPr>
                <w:rFonts w:cstheme="minorHAnsi"/>
              </w:rPr>
              <w:t xml:space="preserve"> v interiéru </w:t>
            </w:r>
            <w:r w:rsidR="00FA5EC8">
              <w:rPr>
                <w:rFonts w:cstheme="minorHAnsi"/>
              </w:rPr>
              <w:t>vedle</w:t>
            </w:r>
            <w:r w:rsidR="00280B5D">
              <w:rPr>
                <w:rFonts w:cstheme="minorHAnsi"/>
              </w:rPr>
              <w:t xml:space="preserve"> okna</w:t>
            </w:r>
            <w:r w:rsidR="00280B5D" w:rsidRPr="00280B5D">
              <w:rPr>
                <w:rFonts w:cstheme="minorHAnsi"/>
              </w:rPr>
              <w:t xml:space="preserve">. </w:t>
            </w:r>
            <w:r w:rsidR="00280B5D">
              <w:rPr>
                <w:rFonts w:cstheme="minorHAnsi"/>
              </w:rPr>
              <w:t>D</w:t>
            </w:r>
            <w:r w:rsidR="00463C44">
              <w:rPr>
                <w:rFonts w:cstheme="minorHAnsi"/>
              </w:rPr>
              <w:t>ále d</w:t>
            </w:r>
            <w:r w:rsidR="00280B5D">
              <w:rPr>
                <w:rFonts w:cstheme="minorHAnsi"/>
              </w:rPr>
              <w:t>oplněn</w:t>
            </w:r>
            <w:r w:rsidR="00463C44">
              <w:rPr>
                <w:rFonts w:cstheme="minorHAnsi"/>
              </w:rPr>
              <w:t xml:space="preserve"> spínač pro </w:t>
            </w:r>
            <w:r w:rsidR="00FA5EC8">
              <w:rPr>
                <w:rFonts w:cstheme="minorHAnsi"/>
              </w:rPr>
              <w:t xml:space="preserve">ovládání </w:t>
            </w:r>
            <w:r w:rsidR="00463C44">
              <w:rPr>
                <w:rFonts w:cstheme="minorHAnsi"/>
              </w:rPr>
              <w:t>žaluzie balkonových dveří z důvodu odlišné výšky žaluzie</w:t>
            </w:r>
            <w:r w:rsidR="00FA5EC8">
              <w:rPr>
                <w:rFonts w:cstheme="minorHAnsi"/>
              </w:rPr>
              <w:t>,</w:t>
            </w:r>
            <w:r w:rsidR="00463C44">
              <w:rPr>
                <w:rFonts w:cstheme="minorHAnsi"/>
              </w:rPr>
              <w:t xml:space="preserve"> není možné napojení </w:t>
            </w:r>
            <w:r w:rsidR="00FA5EC8">
              <w:rPr>
                <w:rFonts w:cstheme="minorHAnsi"/>
              </w:rPr>
              <w:t xml:space="preserve">pouze </w:t>
            </w:r>
            <w:r w:rsidR="00463C44">
              <w:rPr>
                <w:rFonts w:cstheme="minorHAnsi"/>
              </w:rPr>
              <w:t>na jeden spínač.</w:t>
            </w:r>
            <w:r w:rsidR="00280B5D">
              <w:rPr>
                <w:rFonts w:cstheme="minorHAnsi"/>
              </w:rPr>
              <w:t xml:space="preserve"> </w:t>
            </w:r>
            <w:r w:rsidR="00FA5EC8">
              <w:rPr>
                <w:rFonts w:cstheme="minorHAnsi"/>
              </w:rPr>
              <w:t xml:space="preserve">Ovládání žaluzií oken na první spínač, ovládání žaluzií dveří na druhý spínač. </w:t>
            </w:r>
            <w:r w:rsidR="00463C44">
              <w:rPr>
                <w:rFonts w:cstheme="minorHAnsi"/>
              </w:rPr>
              <w:t xml:space="preserve">Dále doplněno chybějící </w:t>
            </w:r>
            <w:r w:rsidR="00280B5D">
              <w:rPr>
                <w:rFonts w:cstheme="minorHAnsi"/>
              </w:rPr>
              <w:t>prokabelování od spínačů k jednotlivým motorům</w:t>
            </w:r>
            <w:r w:rsidR="00463C44">
              <w:rPr>
                <w:rFonts w:cstheme="minorHAnsi"/>
              </w:rPr>
              <w:t>.</w:t>
            </w:r>
          </w:p>
          <w:p w14:paraId="0904A137" w14:textId="16514254" w:rsidR="00280B5D" w:rsidRDefault="00463C44" w:rsidP="00463C44">
            <w:pPr>
              <w:spacing w:after="120"/>
              <w:rPr>
                <w:rFonts w:cstheme="minorHAnsi"/>
              </w:rPr>
            </w:pPr>
            <w:r w:rsidRPr="00280B5D">
              <w:rPr>
                <w:rFonts w:cstheme="minorHAnsi"/>
              </w:rPr>
              <w:t xml:space="preserve">Na základě </w:t>
            </w:r>
            <w:r>
              <w:rPr>
                <w:rFonts w:cstheme="minorHAnsi"/>
              </w:rPr>
              <w:t xml:space="preserve">projektantem </w:t>
            </w:r>
            <w:r w:rsidRPr="00280B5D">
              <w:rPr>
                <w:rFonts w:cstheme="minorHAnsi"/>
              </w:rPr>
              <w:t>dopracov</w:t>
            </w:r>
            <w:r>
              <w:rPr>
                <w:rFonts w:cstheme="minorHAnsi"/>
              </w:rPr>
              <w:t>aného detailu napojení a ovládání</w:t>
            </w:r>
            <w:r w:rsidR="00FA5EC8">
              <w:rPr>
                <w:rFonts w:cstheme="minorHAnsi"/>
              </w:rPr>
              <w:t>,</w:t>
            </w:r>
            <w:r w:rsidRPr="00280B5D">
              <w:rPr>
                <w:rFonts w:cstheme="minorHAnsi"/>
              </w:rPr>
              <w:t xml:space="preserve"> </w:t>
            </w:r>
            <w:r w:rsidR="00791123">
              <w:rPr>
                <w:rFonts w:cstheme="minorHAnsi"/>
              </w:rPr>
              <w:t>bude doplněn</w:t>
            </w:r>
            <w:r>
              <w:rPr>
                <w:rFonts w:cstheme="minorHAnsi"/>
              </w:rPr>
              <w:t xml:space="preserve"> ovládací spínač balkonových dveří a kabeláž mezi spínači a motory.</w:t>
            </w:r>
          </w:p>
          <w:p w14:paraId="7707144D" w14:textId="7E94C050" w:rsidR="00463C44" w:rsidRDefault="00463C44" w:rsidP="00463C44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Interiérové žaluzie budou v okenních sestavách opatřených venkovními žaluziemi zrušeny.</w:t>
            </w:r>
          </w:p>
          <w:p w14:paraId="08287325" w14:textId="52CF5545" w:rsidR="00463C44" w:rsidRPr="00B3207B" w:rsidRDefault="00463C44" w:rsidP="00463C44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3DFD4FA9" w:rsidR="00B3207B" w:rsidRDefault="004869C0" w:rsidP="00B3207B">
            <w:pPr>
              <w:spacing w:after="120"/>
            </w:pPr>
            <w:r>
              <w:rPr>
                <w:rFonts w:ascii="Calibri" w:hAnsi="Calibri"/>
              </w:rPr>
              <w:t>2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F411039" w:rsidR="00B3207B" w:rsidRPr="00374BC6" w:rsidRDefault="00374BC6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374BC6">
              <w:rPr>
                <w:rFonts w:ascii="Calibri" w:hAnsi="Calibri"/>
                <w:iCs/>
              </w:rPr>
              <w:t>Nesprávně naprojektované napojení a ovládání žaluzií</w:t>
            </w:r>
            <w:r>
              <w:rPr>
                <w:rFonts w:ascii="Calibri" w:hAnsi="Calibri"/>
                <w:iCs/>
              </w:rPr>
              <w:t>, dublované provedení stínících systémů na prvcích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347059">
              <w:rPr>
                <w:rFonts w:ascii="Calibri" w:hAnsi="Calibri"/>
              </w:rPr>
            </w:r>
            <w:r w:rsidR="0034705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7059">
              <w:rPr>
                <w:rFonts w:ascii="Calibri" w:hAnsi="Calibri"/>
              </w:rPr>
            </w:r>
            <w:r w:rsidR="0034705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7059">
              <w:rPr>
                <w:rFonts w:ascii="Calibri" w:hAnsi="Calibri"/>
              </w:rPr>
            </w:r>
            <w:r w:rsidR="0034705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7059">
              <w:rPr>
                <w:rFonts w:ascii="Calibri" w:hAnsi="Calibri"/>
              </w:rPr>
            </w:r>
            <w:r w:rsidR="00347059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47C8610B" w14:textId="4889660A" w:rsidR="00B3207B" w:rsidRDefault="0025094F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 technickým řešením souhlasím a potvrzuji správnost cenové kalkulace.</w:t>
            </w: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3F58C522" w14:textId="5796AFCC" w:rsidR="00C21276" w:rsidRPr="00E110DA" w:rsidRDefault="00C21276" w:rsidP="0024741F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E110DA">
              <w:rPr>
                <w:rFonts w:ascii="Calibri" w:hAnsi="Calibri" w:cs="Arial"/>
                <w:bCs/>
              </w:rPr>
              <w:t xml:space="preserve">S návrhem úpravy řešení žaluzií souhlasím. </w:t>
            </w:r>
          </w:p>
          <w:p w14:paraId="5C3CBB88" w14:textId="3BB4BE48" w:rsidR="0055020D" w:rsidRPr="00E110DA" w:rsidRDefault="00E110DA" w:rsidP="00E110DA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E110DA">
              <w:rPr>
                <w:rFonts w:ascii="Calibri" w:hAnsi="Calibri" w:cs="Arial"/>
                <w:bCs/>
              </w:rPr>
              <w:t>Dle našeho doplněného detailu úpravy prokabelování budou doplněny kabeláže</w:t>
            </w:r>
            <w:r w:rsidR="00A62C5D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 xml:space="preserve">k jednotlivým motorům </w:t>
            </w:r>
            <w:r w:rsidRPr="00E110DA">
              <w:rPr>
                <w:rFonts w:ascii="Calibri" w:hAnsi="Calibri" w:cs="Arial"/>
                <w:bCs/>
              </w:rPr>
              <w:t xml:space="preserve">a </w:t>
            </w:r>
            <w:r>
              <w:rPr>
                <w:rFonts w:ascii="Calibri" w:hAnsi="Calibri" w:cs="Arial"/>
                <w:bCs/>
              </w:rPr>
              <w:t xml:space="preserve">budou </w:t>
            </w:r>
            <w:r w:rsidRPr="00E110DA">
              <w:rPr>
                <w:rFonts w:ascii="Calibri" w:hAnsi="Calibri" w:cs="Arial"/>
                <w:bCs/>
              </w:rPr>
              <w:t>doplněn</w:t>
            </w:r>
            <w:r>
              <w:rPr>
                <w:rFonts w:ascii="Calibri" w:hAnsi="Calibri" w:cs="Arial"/>
                <w:bCs/>
              </w:rPr>
              <w:t>y</w:t>
            </w:r>
            <w:r w:rsidRPr="00E110DA">
              <w:rPr>
                <w:rFonts w:ascii="Calibri" w:hAnsi="Calibri" w:cs="Arial"/>
                <w:bCs/>
              </w:rPr>
              <w:t xml:space="preserve"> potřebn</w:t>
            </w:r>
            <w:r>
              <w:rPr>
                <w:rFonts w:ascii="Calibri" w:hAnsi="Calibri" w:cs="Arial"/>
                <w:bCs/>
              </w:rPr>
              <w:t>é ovládací</w:t>
            </w:r>
            <w:r w:rsidRPr="00E110DA">
              <w:rPr>
                <w:rFonts w:ascii="Calibri" w:hAnsi="Calibri" w:cs="Arial"/>
                <w:bCs/>
              </w:rPr>
              <w:t xml:space="preserve"> spínač</w:t>
            </w:r>
            <w:r>
              <w:rPr>
                <w:rFonts w:ascii="Calibri" w:hAnsi="Calibri" w:cs="Arial"/>
                <w:bCs/>
              </w:rPr>
              <w:t>e</w:t>
            </w:r>
            <w:r w:rsidRPr="00E110DA">
              <w:rPr>
                <w:rFonts w:ascii="Calibri" w:hAnsi="Calibri" w:cs="Arial"/>
                <w:bCs/>
              </w:rPr>
              <w:t>.</w:t>
            </w:r>
          </w:p>
          <w:p w14:paraId="7193CF60" w14:textId="71327AB9" w:rsidR="008F68E5" w:rsidRPr="00E110DA" w:rsidRDefault="008F68E5" w:rsidP="008F68E5">
            <w:pPr>
              <w:spacing w:after="120"/>
              <w:jc w:val="both"/>
              <w:rPr>
                <w:rFonts w:ascii="Calibri" w:hAnsi="Calibri" w:cs="Arial"/>
                <w:bCs/>
              </w:rPr>
            </w:pPr>
          </w:p>
          <w:p w14:paraId="6C31ED02" w14:textId="6D4FACC4" w:rsidR="00C21276" w:rsidRDefault="00C21276" w:rsidP="0024741F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E110DA">
              <w:rPr>
                <w:rFonts w:ascii="Calibri" w:hAnsi="Calibri" w:cs="Arial"/>
                <w:bCs/>
              </w:rPr>
              <w:t>S řešením neprovádět vnitřní žaluzie u okenních sestav krytých venkovními žaluziemi souhlasím.</w:t>
            </w:r>
            <w:r>
              <w:rPr>
                <w:rFonts w:ascii="Calibri" w:hAnsi="Calibri" w:cs="Arial"/>
                <w:bCs/>
              </w:rPr>
              <w:t xml:space="preserve"> </w:t>
            </w:r>
          </w:p>
          <w:p w14:paraId="3BC3665C" w14:textId="7271C772" w:rsidR="00EF481A" w:rsidRPr="001D09BD" w:rsidRDefault="00EF481A" w:rsidP="00EF481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1D09BD">
              <w:rPr>
                <w:rFonts w:ascii="Calibri" w:hAnsi="Calibri" w:cs="Arial"/>
                <w:color w:val="000000" w:themeColor="text1"/>
              </w:rPr>
              <w:t xml:space="preserve">Jedná se o změnu dle čl. IV., odst. </w:t>
            </w:r>
            <w:r w:rsidR="00704A1B">
              <w:rPr>
                <w:rFonts w:ascii="Calibri" w:hAnsi="Calibri" w:cs="Arial"/>
                <w:color w:val="000000" w:themeColor="text1"/>
              </w:rPr>
              <w:t>d</w:t>
            </w:r>
            <w:r w:rsidRPr="001D09BD"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9FF8B84" w14:textId="45E9DB5B" w:rsidR="00B3207B" w:rsidRPr="00D85C85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D85C85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D85C85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Pr="00B702EB" w:rsidRDefault="00B3207B" w:rsidP="00B3207B">
            <w:pPr>
              <w:spacing w:after="120"/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254DEE17" w:rsidR="00B3207B" w:rsidRPr="00B702EB" w:rsidRDefault="00B3207B" w:rsidP="00B3207B">
            <w:pPr>
              <w:spacing w:after="120"/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 xml:space="preserve">Rozpočet ZL č. </w:t>
            </w:r>
            <w:r w:rsidR="00D45845" w:rsidRPr="00B702EB">
              <w:rPr>
                <w:rFonts w:ascii="Calibri" w:hAnsi="Calibri"/>
              </w:rPr>
              <w:t>4</w:t>
            </w:r>
          </w:p>
          <w:p w14:paraId="7B388227" w14:textId="3DC98562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B702EB">
              <w:rPr>
                <w:rFonts w:ascii="Calibri" w:hAnsi="Calibri"/>
              </w:rPr>
              <w:t xml:space="preserve">Změnový list č. </w:t>
            </w:r>
            <w:r w:rsidR="00D45845" w:rsidRPr="00B702EB">
              <w:rPr>
                <w:rFonts w:ascii="Calibri" w:hAnsi="Calibri"/>
              </w:rPr>
              <w:t>4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10059A36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D45845">
              <w:rPr>
                <w:rFonts w:ascii="Calibri" w:hAnsi="Calibri"/>
                <w:sz w:val="28"/>
              </w:rPr>
              <w:t>4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7D688FB4" w:rsidR="00B3207B" w:rsidRPr="000D7E15" w:rsidRDefault="00B702E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17.6</w:t>
            </w:r>
            <w:r w:rsidR="00077ADC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2769FAED" w14:textId="77777777" w:rsidR="00D45845" w:rsidRPr="000E30F4" w:rsidRDefault="00D45845" w:rsidP="00D45845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6FA0A05D" w14:textId="77777777" w:rsidR="00077ADC" w:rsidRDefault="00077ADC" w:rsidP="00077ADC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Úpravy žaluzií</w:t>
            </w:r>
          </w:p>
          <w:p w14:paraId="5A10D8A4" w14:textId="77777777" w:rsidR="00D45845" w:rsidRDefault="00D45845" w:rsidP="00D45845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2B0E07AB" w14:textId="1B77BCAE" w:rsidR="00A8353A" w:rsidRDefault="00A8353A" w:rsidP="00A8353A">
            <w:pPr>
              <w:spacing w:after="120"/>
              <w:rPr>
                <w:rFonts w:cstheme="minorHAnsi"/>
              </w:rPr>
            </w:pPr>
            <w:r w:rsidRPr="00280B5D">
              <w:rPr>
                <w:rFonts w:cstheme="minorHAnsi"/>
              </w:rPr>
              <w:t xml:space="preserve">Projektem NN je navržena v jednotlivých bytech </w:t>
            </w:r>
            <w:r>
              <w:rPr>
                <w:rFonts w:cstheme="minorHAnsi"/>
              </w:rPr>
              <w:t xml:space="preserve">3.NP </w:t>
            </w:r>
            <w:r w:rsidRPr="00280B5D">
              <w:rPr>
                <w:rFonts w:cstheme="minorHAnsi"/>
              </w:rPr>
              <w:t xml:space="preserve">kabeláž 220V a ukončena </w:t>
            </w:r>
            <w:r w:rsidR="00A62C5D">
              <w:rPr>
                <w:rFonts w:cstheme="minorHAnsi"/>
              </w:rPr>
              <w:t xml:space="preserve">jediným </w:t>
            </w:r>
            <w:r w:rsidRPr="00280B5D">
              <w:rPr>
                <w:rFonts w:cstheme="minorHAnsi"/>
              </w:rPr>
              <w:t>spínačem</w:t>
            </w:r>
            <w:r>
              <w:rPr>
                <w:rFonts w:cstheme="minorHAnsi"/>
              </w:rPr>
              <w:t xml:space="preserve"> v interiéru vedle okna</w:t>
            </w:r>
            <w:r w:rsidRPr="00280B5D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Dále doplněn spínač pro ovládání žaluzie balkonových dveří z důvodu odlišné výšky žaluzie, není možné napojení pouze na jeden spínač. Ovládání žaluzií oken na první spínač, ovládání žaluzií dveří na druhý spínač. Dále doplněno chybějící prokabelování od spínačů k jednotlivým motorům.</w:t>
            </w:r>
          </w:p>
          <w:p w14:paraId="544904A9" w14:textId="77777777" w:rsidR="00A8353A" w:rsidRDefault="00A8353A" w:rsidP="00A8353A">
            <w:pPr>
              <w:spacing w:after="120"/>
              <w:rPr>
                <w:rFonts w:cstheme="minorHAnsi"/>
              </w:rPr>
            </w:pPr>
            <w:r w:rsidRPr="00280B5D">
              <w:rPr>
                <w:rFonts w:cstheme="minorHAnsi"/>
              </w:rPr>
              <w:t xml:space="preserve">Na základě </w:t>
            </w:r>
            <w:r>
              <w:rPr>
                <w:rFonts w:cstheme="minorHAnsi"/>
              </w:rPr>
              <w:t xml:space="preserve">projektantem </w:t>
            </w:r>
            <w:r w:rsidRPr="00280B5D">
              <w:rPr>
                <w:rFonts w:cstheme="minorHAnsi"/>
              </w:rPr>
              <w:t>dopracov</w:t>
            </w:r>
            <w:r>
              <w:rPr>
                <w:rFonts w:cstheme="minorHAnsi"/>
              </w:rPr>
              <w:t>aného detailu napojení a ovládání,</w:t>
            </w:r>
            <w:r w:rsidRPr="00280B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bude doplněn ovládací spínač balkonových dveří a kabeláž mezi spínači a motory.</w:t>
            </w:r>
          </w:p>
          <w:p w14:paraId="1044A38F" w14:textId="77777777" w:rsidR="00A8353A" w:rsidRDefault="00A8353A" w:rsidP="00A8353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Interiérové žaluzie budou v okenních sestavách opatřených venkovními žaluziemi zrušeny.</w:t>
            </w:r>
          </w:p>
          <w:p w14:paraId="730FA7B2" w14:textId="1AA91155" w:rsidR="00B3207B" w:rsidRPr="00B3207B" w:rsidRDefault="00B3207B" w:rsidP="00D45845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43FD6247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</w:t>
            </w:r>
            <w:r w:rsidR="004869C0">
              <w:rPr>
                <w:rFonts w:ascii="Calibri" w:hAnsi="Calibri"/>
              </w:rPr>
              <w:t>2</w:t>
            </w:r>
            <w:r w:rsidRPr="000D7E15">
              <w:rPr>
                <w:rFonts w:ascii="Calibri" w:hAnsi="Calibri"/>
              </w:rPr>
              <w:t xml:space="preserve">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0B57175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  <w:r w:rsidR="004869C0">
              <w:rPr>
                <w:rFonts w:ascii="Calibri" w:hAnsi="Calibri"/>
              </w:rPr>
              <w:t>1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B702EB" w:rsidRDefault="00B3207B" w:rsidP="00B3207B">
            <w:pPr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B702EB" w:rsidRDefault="00F3269A" w:rsidP="00B3207B">
            <w:pPr>
              <w:rPr>
                <w:rFonts w:ascii="Calibri" w:hAnsi="Calibri"/>
              </w:rPr>
            </w:pPr>
          </w:p>
          <w:p w14:paraId="1C5C0DF2" w14:textId="118088C6" w:rsidR="00B3207B" w:rsidRPr="00B702EB" w:rsidRDefault="00077ADC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B702EB">
              <w:rPr>
                <w:rFonts w:ascii="Calibri" w:hAnsi="Calibri"/>
                <w:b/>
              </w:rPr>
              <w:t>-</w:t>
            </w:r>
            <w:r w:rsidR="00791123" w:rsidRPr="00B702EB">
              <w:rPr>
                <w:rFonts w:ascii="Calibri" w:hAnsi="Calibri"/>
                <w:b/>
              </w:rPr>
              <w:t>35</w:t>
            </w:r>
            <w:r w:rsidRPr="00B702EB">
              <w:rPr>
                <w:rFonts w:ascii="Calibri" w:hAnsi="Calibri"/>
                <w:b/>
              </w:rPr>
              <w:t>.</w:t>
            </w:r>
            <w:r w:rsidR="00791123" w:rsidRPr="00B702EB">
              <w:rPr>
                <w:rFonts w:ascii="Calibri" w:hAnsi="Calibri"/>
                <w:b/>
              </w:rPr>
              <w:t>00</w:t>
            </w:r>
            <w:r w:rsidRPr="00B702EB">
              <w:rPr>
                <w:rFonts w:ascii="Calibri" w:hAnsi="Calibri"/>
                <w:b/>
              </w:rPr>
              <w:t>6,</w:t>
            </w:r>
            <w:r w:rsidR="00791123" w:rsidRPr="00B702EB">
              <w:rPr>
                <w:rFonts w:ascii="Calibri" w:hAnsi="Calibri"/>
                <w:b/>
              </w:rPr>
              <w:t>00</w:t>
            </w:r>
            <w:r w:rsidR="00B3207B" w:rsidRPr="00B702EB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B702EB" w:rsidRDefault="00B3207B" w:rsidP="00B3207B">
            <w:pPr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B702EB" w:rsidRDefault="00F3269A" w:rsidP="00B3207B">
            <w:pPr>
              <w:rPr>
                <w:rFonts w:ascii="Calibri" w:hAnsi="Calibri"/>
              </w:rPr>
            </w:pPr>
          </w:p>
          <w:p w14:paraId="128FC646" w14:textId="66F3C935" w:rsidR="00B3207B" w:rsidRPr="00B702EB" w:rsidRDefault="00791123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B702EB">
              <w:rPr>
                <w:rFonts w:ascii="Calibri" w:hAnsi="Calibri" w:cs="Calibri"/>
                <w:b/>
              </w:rPr>
              <w:t>3</w:t>
            </w:r>
            <w:r w:rsidR="00077ADC" w:rsidRPr="00B702EB">
              <w:rPr>
                <w:rFonts w:ascii="Calibri" w:hAnsi="Calibri" w:cs="Calibri"/>
                <w:b/>
              </w:rPr>
              <w:t>5.</w:t>
            </w:r>
            <w:r w:rsidRPr="00B702EB">
              <w:rPr>
                <w:rFonts w:ascii="Calibri" w:hAnsi="Calibri" w:cs="Calibri"/>
                <w:b/>
              </w:rPr>
              <w:t>006</w:t>
            </w:r>
            <w:r w:rsidR="00077ADC" w:rsidRPr="00B702EB">
              <w:rPr>
                <w:rFonts w:ascii="Calibri" w:hAnsi="Calibri" w:cs="Calibri"/>
                <w:b/>
              </w:rPr>
              <w:t>,</w:t>
            </w:r>
            <w:r w:rsidRPr="00B702EB">
              <w:rPr>
                <w:rFonts w:ascii="Calibri" w:hAnsi="Calibri" w:cs="Calibri"/>
                <w:b/>
              </w:rPr>
              <w:t>00</w:t>
            </w:r>
            <w:r w:rsidR="00077ADC" w:rsidRPr="00B702EB">
              <w:rPr>
                <w:rFonts w:ascii="Calibri" w:hAnsi="Calibri" w:cs="Calibri"/>
                <w:b/>
              </w:rPr>
              <w:t xml:space="preserve"> </w:t>
            </w:r>
            <w:r w:rsidR="00B3207B" w:rsidRPr="00B702EB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B702EB" w:rsidRDefault="00660B60" w:rsidP="004A3E77">
            <w:pPr>
              <w:spacing w:after="120"/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B702EB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65DC8BC6" w:rsidR="00660B60" w:rsidRPr="00B702EB" w:rsidRDefault="00791123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702EB">
              <w:rPr>
                <w:rFonts w:ascii="Calibri" w:hAnsi="Calibri" w:cs="Calibri"/>
                <w:b/>
              </w:rPr>
              <w:t>0</w:t>
            </w:r>
            <w:r w:rsidR="00077ADC" w:rsidRPr="00B702EB">
              <w:rPr>
                <w:rFonts w:ascii="Calibri" w:hAnsi="Calibri" w:cs="Calibri"/>
                <w:b/>
              </w:rPr>
              <w:t>,</w:t>
            </w:r>
            <w:r w:rsidRPr="00B702EB">
              <w:rPr>
                <w:rFonts w:ascii="Calibri" w:hAnsi="Calibri" w:cs="Calibri"/>
                <w:b/>
              </w:rPr>
              <w:t>0</w:t>
            </w:r>
            <w:r w:rsidR="00077ADC" w:rsidRPr="00B702EB">
              <w:rPr>
                <w:rFonts w:ascii="Calibri" w:hAnsi="Calibri" w:cs="Calibri"/>
                <w:b/>
              </w:rPr>
              <w:t>0</w:t>
            </w:r>
            <w:r w:rsidR="0024741F" w:rsidRPr="00B702EB">
              <w:rPr>
                <w:rFonts w:ascii="Calibri" w:hAnsi="Calibri" w:cs="Calibri"/>
                <w:b/>
              </w:rPr>
              <w:t xml:space="preserve"> </w:t>
            </w:r>
            <w:r w:rsidR="0024741F" w:rsidRPr="00B702EB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B702EB" w:rsidRDefault="00660B60" w:rsidP="004A3E77">
            <w:pPr>
              <w:spacing w:after="120"/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B702EB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B702EB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B702EB" w:rsidRDefault="00660B60" w:rsidP="00153625">
            <w:pPr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B702EB" w:rsidRDefault="00660B60" w:rsidP="00660B60">
            <w:pPr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B702EB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B702EB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B702EB" w:rsidRDefault="00660B60" w:rsidP="00660B60">
            <w:pPr>
              <w:rPr>
                <w:rFonts w:ascii="Calibri" w:hAnsi="Calibri"/>
              </w:rPr>
            </w:pPr>
          </w:p>
          <w:p w14:paraId="3201E85D" w14:textId="45B6DC0C" w:rsidR="00660B60" w:rsidRPr="00B702EB" w:rsidRDefault="00660B60" w:rsidP="00660B60">
            <w:pPr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 xml:space="preserve">Datum: </w:t>
            </w:r>
            <w:r w:rsidR="00B702EB" w:rsidRPr="00B702EB">
              <w:rPr>
                <w:rFonts w:ascii="Calibri" w:hAnsi="Calibri"/>
              </w:rPr>
              <w:t>17.6.2021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B702EB" w:rsidRDefault="00660B60" w:rsidP="00660B60">
            <w:pPr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B702EB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B702EB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B702EB" w:rsidRDefault="00660B60" w:rsidP="00660B60">
            <w:pPr>
              <w:rPr>
                <w:rFonts w:ascii="Calibri" w:hAnsi="Calibri"/>
              </w:rPr>
            </w:pPr>
          </w:p>
          <w:p w14:paraId="0E3C185F" w14:textId="03C8917C" w:rsidR="00660B60" w:rsidRPr="00B702EB" w:rsidRDefault="00660B60" w:rsidP="00660B60">
            <w:pPr>
              <w:rPr>
                <w:rFonts w:ascii="Calibri" w:hAnsi="Calibri"/>
              </w:rPr>
            </w:pPr>
            <w:r w:rsidRPr="00B702EB">
              <w:rPr>
                <w:rFonts w:ascii="Calibri" w:hAnsi="Calibri"/>
              </w:rPr>
              <w:t xml:space="preserve">Datum: </w:t>
            </w:r>
            <w:r w:rsidR="00B702EB" w:rsidRPr="00B702EB">
              <w:rPr>
                <w:rFonts w:ascii="Calibri" w:hAnsi="Calibri"/>
              </w:rPr>
              <w:t>17.6.2021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55805" w14:textId="77777777" w:rsidR="00347059" w:rsidRDefault="00347059" w:rsidP="00660B60">
      <w:pPr>
        <w:spacing w:after="0" w:line="240" w:lineRule="auto"/>
      </w:pPr>
      <w:r>
        <w:separator/>
      </w:r>
    </w:p>
  </w:endnote>
  <w:endnote w:type="continuationSeparator" w:id="0">
    <w:p w14:paraId="2B69451C" w14:textId="77777777" w:rsidR="00347059" w:rsidRDefault="00347059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5213C" w14:textId="77777777" w:rsidR="00347059" w:rsidRDefault="00347059" w:rsidP="00660B60">
      <w:pPr>
        <w:spacing w:after="0" w:line="240" w:lineRule="auto"/>
      </w:pPr>
      <w:r>
        <w:separator/>
      </w:r>
    </w:p>
  </w:footnote>
  <w:footnote w:type="continuationSeparator" w:id="0">
    <w:p w14:paraId="70EA04B2" w14:textId="77777777" w:rsidR="00347059" w:rsidRDefault="00347059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62D"/>
    <w:multiLevelType w:val="hybridMultilevel"/>
    <w:tmpl w:val="A0DA6B44"/>
    <w:lvl w:ilvl="0" w:tplc="8286C74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B"/>
    <w:rsid w:val="000470E0"/>
    <w:rsid w:val="00077ADC"/>
    <w:rsid w:val="000C655D"/>
    <w:rsid w:val="0012620B"/>
    <w:rsid w:val="00134F64"/>
    <w:rsid w:val="00153625"/>
    <w:rsid w:val="001707EA"/>
    <w:rsid w:val="001C3B4D"/>
    <w:rsid w:val="0024741F"/>
    <w:rsid w:val="0025094F"/>
    <w:rsid w:val="00280B5D"/>
    <w:rsid w:val="003162B0"/>
    <w:rsid w:val="00347059"/>
    <w:rsid w:val="00367029"/>
    <w:rsid w:val="00374BC6"/>
    <w:rsid w:val="00463C44"/>
    <w:rsid w:val="004869C0"/>
    <w:rsid w:val="004A3E77"/>
    <w:rsid w:val="004D053F"/>
    <w:rsid w:val="0055020D"/>
    <w:rsid w:val="00566294"/>
    <w:rsid w:val="00592950"/>
    <w:rsid w:val="00660B60"/>
    <w:rsid w:val="00662D35"/>
    <w:rsid w:val="006840D4"/>
    <w:rsid w:val="00704A1B"/>
    <w:rsid w:val="00721D63"/>
    <w:rsid w:val="00760136"/>
    <w:rsid w:val="00791123"/>
    <w:rsid w:val="008A5CA9"/>
    <w:rsid w:val="008F68E5"/>
    <w:rsid w:val="00932AC8"/>
    <w:rsid w:val="00942C89"/>
    <w:rsid w:val="00A4587C"/>
    <w:rsid w:val="00A62C5D"/>
    <w:rsid w:val="00A8353A"/>
    <w:rsid w:val="00AF38BA"/>
    <w:rsid w:val="00B3207B"/>
    <w:rsid w:val="00B702EB"/>
    <w:rsid w:val="00BB0AEB"/>
    <w:rsid w:val="00C022EF"/>
    <w:rsid w:val="00C21276"/>
    <w:rsid w:val="00C34721"/>
    <w:rsid w:val="00C35E45"/>
    <w:rsid w:val="00CD2488"/>
    <w:rsid w:val="00D256B6"/>
    <w:rsid w:val="00D45845"/>
    <w:rsid w:val="00D535ED"/>
    <w:rsid w:val="00D85C85"/>
    <w:rsid w:val="00E110DA"/>
    <w:rsid w:val="00E525F7"/>
    <w:rsid w:val="00E72692"/>
    <w:rsid w:val="00EF481A"/>
    <w:rsid w:val="00F3269A"/>
    <w:rsid w:val="00FA4196"/>
    <w:rsid w:val="00FA5EC8"/>
    <w:rsid w:val="00FB0C4E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3D2F2C43-87F7-408C-BDA3-2049257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59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9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3</cp:revision>
  <dcterms:created xsi:type="dcterms:W3CDTF">2021-07-13T11:12:00Z</dcterms:created>
  <dcterms:modified xsi:type="dcterms:W3CDTF">2021-07-13T11:12:00Z</dcterms:modified>
</cp:coreProperties>
</file>