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0EEBAEB5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FF684E">
              <w:rPr>
                <w:rFonts w:ascii="Calibri" w:hAnsi="Calibri"/>
                <w:sz w:val="28"/>
              </w:rPr>
              <w:t>2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41F83D5A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311EEC">
              <w:rPr>
                <w:rFonts w:ascii="Calibri" w:hAnsi="Calibri"/>
              </w:rPr>
              <w:t>17.6.2021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6A37B8">
              <w:rPr>
                <w:rFonts w:ascii="Calibri" w:hAnsi="Calibri"/>
              </w:rPr>
            </w:r>
            <w:r w:rsidR="006A37B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1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6A37B8">
              <w:rPr>
                <w:rFonts w:ascii="Calibri" w:hAnsi="Calibri"/>
              </w:rPr>
            </w:r>
            <w:r w:rsidR="006A37B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6A37B8">
              <w:rPr>
                <w:rFonts w:ascii="Calibri" w:hAnsi="Calibri"/>
              </w:rPr>
            </w:r>
            <w:r w:rsidR="006A37B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3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A37B8">
              <w:rPr>
                <w:rFonts w:ascii="Calibri" w:hAnsi="Calibri"/>
              </w:rPr>
            </w:r>
            <w:r w:rsidR="006A37B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1742B6AF" w:rsidR="00B3207B" w:rsidRDefault="00B3207B" w:rsidP="00B3207B">
            <w:pPr>
              <w:spacing w:after="120"/>
            </w:pPr>
            <w:r w:rsidRPr="000D6721">
              <w:rPr>
                <w:rFonts w:ascii="Calibri" w:hAnsi="Calibri"/>
                <w:b/>
              </w:rPr>
              <w:t xml:space="preserve">Rozpočet ZL </w:t>
            </w:r>
            <w:r w:rsidR="00FF684E" w:rsidRPr="000D6721">
              <w:rPr>
                <w:rFonts w:ascii="Calibri" w:hAnsi="Calibri"/>
                <w:b/>
              </w:rPr>
              <w:t>2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54341F34" w14:textId="1B8E25F0" w:rsidR="00FF684E" w:rsidRDefault="00CA30F7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Změna způsobu realizace střešního pláště a jeho skladby, demontáž starých a realizace nových SDK podhledů ve 3.NP</w:t>
            </w:r>
          </w:p>
          <w:p w14:paraId="4BACDAB2" w14:textId="7710A26D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3A5A1D52" w14:textId="06D64A57" w:rsidR="00EE1CB3" w:rsidRDefault="00FF684E" w:rsidP="000D6721">
            <w:pPr>
              <w:spacing w:after="120"/>
              <w:rPr>
                <w:rFonts w:cstheme="minorHAnsi"/>
              </w:rPr>
            </w:pPr>
            <w:r w:rsidRPr="000D6721">
              <w:rPr>
                <w:rFonts w:cstheme="minorHAnsi"/>
              </w:rPr>
              <w:t>Projekt</w:t>
            </w:r>
            <w:r w:rsidR="000D6721" w:rsidRPr="000D6721">
              <w:rPr>
                <w:rFonts w:cstheme="minorHAnsi"/>
              </w:rPr>
              <w:t xml:space="preserve">em je navržena montáž </w:t>
            </w:r>
            <w:r w:rsidR="00FD078F">
              <w:rPr>
                <w:rFonts w:cstheme="minorHAnsi"/>
              </w:rPr>
              <w:t xml:space="preserve">nové </w:t>
            </w:r>
            <w:r w:rsidR="000D6721" w:rsidRPr="000D6721">
              <w:rPr>
                <w:rFonts w:cstheme="minorHAnsi"/>
              </w:rPr>
              <w:t xml:space="preserve">parotěsné zábrany </w:t>
            </w:r>
            <w:r w:rsidR="00FD078F">
              <w:rPr>
                <w:rFonts w:cstheme="minorHAnsi"/>
              </w:rPr>
              <w:t xml:space="preserve">podkrovních bytů </w:t>
            </w:r>
            <w:r w:rsidR="000D6721" w:rsidRPr="000D6721">
              <w:rPr>
                <w:rFonts w:cstheme="minorHAnsi"/>
              </w:rPr>
              <w:t xml:space="preserve">shora </w:t>
            </w:r>
            <w:r w:rsidR="00FD078F">
              <w:rPr>
                <w:rFonts w:cstheme="minorHAnsi"/>
              </w:rPr>
              <w:t>stře</w:t>
            </w:r>
            <w:r w:rsidR="00CA30F7">
              <w:rPr>
                <w:rFonts w:cstheme="minorHAnsi"/>
              </w:rPr>
              <w:t>šním pláštěm</w:t>
            </w:r>
            <w:r w:rsidR="00FD078F">
              <w:rPr>
                <w:rFonts w:cstheme="minorHAnsi"/>
              </w:rPr>
              <w:t xml:space="preserve"> </w:t>
            </w:r>
            <w:r w:rsidR="000D6721" w:rsidRPr="000D6721">
              <w:rPr>
                <w:rFonts w:cstheme="minorHAnsi"/>
              </w:rPr>
              <w:t xml:space="preserve">na původní </w:t>
            </w:r>
            <w:r w:rsidR="00FD078F">
              <w:rPr>
                <w:rFonts w:cstheme="minorHAnsi"/>
              </w:rPr>
              <w:t xml:space="preserve">spodní </w:t>
            </w:r>
            <w:r w:rsidR="000D6721" w:rsidRPr="000D6721">
              <w:rPr>
                <w:rFonts w:cstheme="minorHAnsi"/>
              </w:rPr>
              <w:t xml:space="preserve">dřevěný záklop. Sondami </w:t>
            </w:r>
            <w:r w:rsidR="00CA30F7">
              <w:rPr>
                <w:rFonts w:cstheme="minorHAnsi"/>
              </w:rPr>
              <w:t xml:space="preserve">do konstrukce střechy </w:t>
            </w:r>
            <w:r w:rsidR="00FD078F">
              <w:rPr>
                <w:rFonts w:cstheme="minorHAnsi"/>
              </w:rPr>
              <w:t xml:space="preserve">bylo </w:t>
            </w:r>
            <w:r w:rsidR="000D6721" w:rsidRPr="000D6721">
              <w:rPr>
                <w:rFonts w:cstheme="minorHAnsi"/>
              </w:rPr>
              <w:t xml:space="preserve">zjištěno, že žádný takový záklop se ve stávající konstrukci </w:t>
            </w:r>
            <w:r w:rsidR="00CA30F7">
              <w:rPr>
                <w:rFonts w:cstheme="minorHAnsi"/>
              </w:rPr>
              <w:t xml:space="preserve">střechy </w:t>
            </w:r>
            <w:r w:rsidR="000D6721" w:rsidRPr="000D6721">
              <w:rPr>
                <w:rFonts w:cstheme="minorHAnsi"/>
              </w:rPr>
              <w:t xml:space="preserve">nenachází. </w:t>
            </w:r>
            <w:r w:rsidR="00CA30F7">
              <w:rPr>
                <w:rFonts w:cstheme="minorHAnsi"/>
              </w:rPr>
              <w:t xml:space="preserve">Prověřena i možnost doplnění spodního dřevěného záklopu montáží shora, došlo by ale k prodloužení </w:t>
            </w:r>
            <w:r w:rsidR="00EE1CB3">
              <w:rPr>
                <w:rFonts w:cstheme="minorHAnsi"/>
              </w:rPr>
              <w:t>doby</w:t>
            </w:r>
            <w:r w:rsidR="00CA30F7">
              <w:rPr>
                <w:rFonts w:cstheme="minorHAnsi"/>
              </w:rPr>
              <w:t xml:space="preserve"> realizace, se současným zvýšeným rizikem zatečení do objektu. Realizace nového bednění by přinesla </w:t>
            </w:r>
            <w:r w:rsidR="00EE1CB3">
              <w:rPr>
                <w:rFonts w:cstheme="minorHAnsi"/>
              </w:rPr>
              <w:t>finančně nákladnou</w:t>
            </w:r>
            <w:r w:rsidR="00CA30F7">
              <w:rPr>
                <w:rFonts w:cstheme="minorHAnsi"/>
              </w:rPr>
              <w:t xml:space="preserve"> vícepráci a vysokou pracnost provádění s rizikovými místy styků nosných prvků krovu. </w:t>
            </w:r>
            <w:r w:rsidR="00EE1CB3">
              <w:rPr>
                <w:rFonts w:cstheme="minorHAnsi"/>
              </w:rPr>
              <w:t xml:space="preserve">I v případě provedení nového bednění však zůstávají dva problematické aspekty provedení vlastní parozábrany. </w:t>
            </w:r>
          </w:p>
          <w:p w14:paraId="5C7F911E" w14:textId="65EE9F87" w:rsidR="00EE1CB3" w:rsidRDefault="00EE1CB3" w:rsidP="000D6721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   Je nemožné provést parozábranu shora nad kleštinami sestávajícími ze dvou samostatných fošen, mezi které musí být vložena tepelná izolace. Tato izolace by v případě provedení dle detailu dodaného projektantem (viz příloha) použitelného pro krokve ponechala izolaci mezi kleštinami vystavenu pronikání vlhkosti z interiéru. </w:t>
            </w:r>
          </w:p>
          <w:p w14:paraId="69F2CFC4" w14:textId="45CA0218" w:rsidR="00EE1CB3" w:rsidRDefault="00EE1CB3" w:rsidP="00EE1CB3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Parozábranu položenou shoda dle detailu v příloze je však nemožné provést s garancí těsnosti v křížení nosných prvků krovu tj.vaznic, kleštin a krokví, u kterých navíc dochází ke změně spádu střechy a kleštiny jsou v tomto místě napojovány.</w:t>
            </w:r>
          </w:p>
          <w:p w14:paraId="76D2310B" w14:textId="7D11E84F" w:rsidR="000D6721" w:rsidRDefault="000D6721" w:rsidP="00EE1CB3">
            <w:pPr>
              <w:spacing w:after="120"/>
              <w:rPr>
                <w:rFonts w:cstheme="minorHAnsi"/>
              </w:rPr>
            </w:pPr>
            <w:r w:rsidRPr="00EE1CB3">
              <w:rPr>
                <w:rFonts w:cstheme="minorHAnsi"/>
              </w:rPr>
              <w:t xml:space="preserve">Reálné provedení parotěsné zábrany mezi krokvemi, vaznicemi a kleštinami není </w:t>
            </w:r>
            <w:r w:rsidR="00EE1CB3">
              <w:rPr>
                <w:rFonts w:cstheme="minorHAnsi"/>
              </w:rPr>
              <w:t xml:space="preserve">tudíž </w:t>
            </w:r>
            <w:r w:rsidR="00CB19A7">
              <w:rPr>
                <w:rFonts w:cstheme="minorHAnsi"/>
              </w:rPr>
              <w:t xml:space="preserve">z výše </w:t>
            </w:r>
            <w:r w:rsidRPr="00EE1CB3">
              <w:rPr>
                <w:rFonts w:cstheme="minorHAnsi"/>
              </w:rPr>
              <w:t xml:space="preserve">shora proveditelné. </w:t>
            </w:r>
            <w:r w:rsidR="00CB19A7">
              <w:rPr>
                <w:rFonts w:cstheme="minorHAnsi"/>
              </w:rPr>
              <w:t>Zhotovitel navrhuje tuto parozábranu</w:t>
            </w:r>
            <w:r w:rsidRPr="00EE1CB3">
              <w:rPr>
                <w:rFonts w:cstheme="minorHAnsi"/>
              </w:rPr>
              <w:t xml:space="preserve"> systémově provést zespod přikotvením na spodní strany kleštin a krokví, aby byla celistvá, neporušená a plně funkční. Pro tuto systémovou montáž je však nutno demontovat veškeré sádrokartonové podhledy obytných částí </w:t>
            </w:r>
            <w:r w:rsidR="00CB19A7">
              <w:rPr>
                <w:rFonts w:cstheme="minorHAnsi"/>
              </w:rPr>
              <w:t xml:space="preserve">ve 3.NP </w:t>
            </w:r>
            <w:r w:rsidRPr="00EE1CB3">
              <w:rPr>
                <w:rFonts w:cstheme="minorHAnsi"/>
              </w:rPr>
              <w:t>a posléze provést jejich novou montáž.</w:t>
            </w:r>
          </w:p>
          <w:p w14:paraId="330A0CB2" w14:textId="5AE9569F" w:rsidR="00CB19A7" w:rsidRDefault="00CB19A7" w:rsidP="00EE1CB3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 a výkaz výměr předpokládal ponechání </w:t>
            </w:r>
            <w:r w:rsidRPr="00563A7A">
              <w:rPr>
                <w:rFonts w:cstheme="minorHAnsi"/>
              </w:rPr>
              <w:t>stávajících SDK podhledů ve větší části půdorysu</w:t>
            </w:r>
            <w:r>
              <w:rPr>
                <w:rFonts w:cstheme="minorHAnsi"/>
              </w:rPr>
              <w:t xml:space="preserve"> 3.NP bloku A, B i C. Zhotovitel navrhuje jejich kompletní demontáž a provedení SDK nových. Rozsah prací je dán Změnovým rozpočtem ZL 02.</w:t>
            </w:r>
          </w:p>
          <w:p w14:paraId="44ACFC62" w14:textId="15AE4396" w:rsidR="00CB19A7" w:rsidRPr="00EE1CB3" w:rsidRDefault="00CB19A7" w:rsidP="00EE1CB3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Kromě výše uvedeného navrhujeme </w:t>
            </w:r>
            <w:r w:rsidR="009970CE">
              <w:rPr>
                <w:rFonts w:cstheme="minorHAnsi"/>
              </w:rPr>
              <w:t xml:space="preserve">záměnu materiálu v </w:t>
            </w:r>
            <w:r>
              <w:rPr>
                <w:rFonts w:cstheme="minorHAnsi"/>
              </w:rPr>
              <w:t>projektem navržené skladb</w:t>
            </w:r>
            <w:r w:rsidR="009970CE">
              <w:rPr>
                <w:rFonts w:cstheme="minorHAnsi"/>
              </w:rPr>
              <w:t>ě</w:t>
            </w:r>
            <w:r>
              <w:rPr>
                <w:rFonts w:cstheme="minorHAnsi"/>
              </w:rPr>
              <w:t xml:space="preserve"> střešního pl</w:t>
            </w:r>
            <w:r w:rsidR="009970CE">
              <w:rPr>
                <w:rFonts w:cstheme="minorHAnsi"/>
              </w:rPr>
              <w:t xml:space="preserve">áště s nahrazením PIR </w:t>
            </w:r>
            <w:r w:rsidR="009970CE" w:rsidRPr="00C42177">
              <w:rPr>
                <w:rFonts w:cstheme="minorHAnsi"/>
              </w:rPr>
              <w:t>desky</w:t>
            </w:r>
            <w:r w:rsidR="009970CE">
              <w:rPr>
                <w:rFonts w:cstheme="minorHAnsi"/>
              </w:rPr>
              <w:t xml:space="preserve"> opatřené oboustranně hliníkovou folie, která by působila jako </w:t>
            </w:r>
            <w:r w:rsidR="009970CE">
              <w:rPr>
                <w:rFonts w:cstheme="minorHAnsi"/>
              </w:rPr>
              <w:lastRenderedPageBreak/>
              <w:t>bariéra proti úniku vlhkosti ze skladby střechy, za</w:t>
            </w:r>
            <w:r>
              <w:rPr>
                <w:rFonts w:cstheme="minorHAnsi"/>
              </w:rPr>
              <w:t xml:space="preserve"> PIR </w:t>
            </w:r>
            <w:r w:rsidRPr="00C42177">
              <w:rPr>
                <w:rFonts w:cstheme="minorHAnsi"/>
              </w:rPr>
              <w:t xml:space="preserve">desky </w:t>
            </w:r>
            <w:r w:rsidR="009970CE" w:rsidRPr="00C42177">
              <w:rPr>
                <w:rFonts w:cstheme="minorHAnsi"/>
              </w:rPr>
              <w:t xml:space="preserve">Bauder </w:t>
            </w:r>
            <w:r w:rsidR="00C42177" w:rsidRPr="00C42177">
              <w:rPr>
                <w:rFonts w:cstheme="minorHAnsi"/>
              </w:rPr>
              <w:t>ECO S</w:t>
            </w:r>
            <w:r w:rsidR="009970CE" w:rsidRPr="00C42177">
              <w:rPr>
                <w:rFonts w:cstheme="minorHAnsi"/>
              </w:rPr>
              <w:t xml:space="preserve"> </w:t>
            </w:r>
            <w:r w:rsidR="009970CE">
              <w:rPr>
                <w:rFonts w:cstheme="minorHAnsi"/>
              </w:rPr>
              <w:t>o stejných tepelně technických parametrech</w:t>
            </w:r>
          </w:p>
          <w:p w14:paraId="08287325" w14:textId="56A26081" w:rsidR="00B3207B" w:rsidRPr="00B3207B" w:rsidRDefault="00B3207B" w:rsidP="00FF684E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lastRenderedPageBreak/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73753BBF" w:rsidR="00B3207B" w:rsidRDefault="00AE7C57" w:rsidP="00B3207B">
            <w:pPr>
              <w:spacing w:after="120"/>
            </w:pPr>
            <w:r>
              <w:rPr>
                <w:rFonts w:ascii="Calibri" w:hAnsi="Calibri"/>
              </w:rPr>
              <w:t>3</w:t>
            </w: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6CFC859" w:rsidR="00B3207B" w:rsidRPr="00B3207B" w:rsidRDefault="00F905B7" w:rsidP="00B3207B">
            <w:pPr>
              <w:spacing w:after="120"/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A37B8">
              <w:rPr>
                <w:rFonts w:ascii="Calibri" w:hAnsi="Calibri"/>
              </w:rPr>
            </w:r>
            <w:r w:rsidR="006A37B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6A37B8">
              <w:rPr>
                <w:rFonts w:ascii="Calibri" w:hAnsi="Calibri"/>
              </w:rPr>
            </w:r>
            <w:r w:rsidR="006A37B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6A37B8">
              <w:rPr>
                <w:rFonts w:ascii="Calibri" w:hAnsi="Calibri"/>
              </w:rPr>
            </w:r>
            <w:r w:rsidR="006A37B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6A37B8">
              <w:rPr>
                <w:rFonts w:ascii="Calibri" w:hAnsi="Calibri"/>
              </w:rPr>
            </w:r>
            <w:r w:rsidR="006A37B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7BCAEAAC" w14:textId="66C2C8A6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5998795F" w14:textId="040B143C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813FB0B" w14:textId="7192A624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21FCA86B" w14:textId="74D5D5BA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4A753E00" w14:textId="77777777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5727A572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77777777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</w:p>
          <w:p w14:paraId="5C7B65C5" w14:textId="09F8FAAC" w:rsidR="00A12755" w:rsidRDefault="00A12755" w:rsidP="00A12755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Potvrzuji předloženou rozpočtovou kalkulaci. </w:t>
            </w:r>
          </w:p>
          <w:p w14:paraId="2FB53E66" w14:textId="51411039" w:rsidR="00A12755" w:rsidRDefault="00A12755" w:rsidP="00A12755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S navrženým řešením souhlasím, žádám však o stanovisko projektanta a zkreslení detailu, který by řešil dotěsnění prostupů, které vzniknou v parozábraně při jejím uložení dle návrhu zhotovitele. </w:t>
            </w:r>
          </w:p>
          <w:p w14:paraId="04FC2756" w14:textId="77777777" w:rsidR="00A12755" w:rsidRDefault="00A12755" w:rsidP="00A12755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587DCFE1" w14:textId="5B33A798" w:rsidR="00A12755" w:rsidRDefault="00A12755" w:rsidP="00A12755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</w:t>
            </w:r>
            <w:r w:rsidR="00BE515F">
              <w:rPr>
                <w:rFonts w:ascii="Calibri" w:hAnsi="Calibri" w:cs="Arial"/>
              </w:rPr>
              <w:t>xxx</w:t>
            </w:r>
            <w:bookmarkStart w:id="4" w:name="_GoBack"/>
            <w:bookmarkEnd w:id="4"/>
            <w:r>
              <w:rPr>
                <w:rFonts w:ascii="Calibri" w:hAnsi="Calibri" w:cs="Arial"/>
              </w:rPr>
              <w:t>, TDS</w:t>
            </w:r>
          </w:p>
          <w:p w14:paraId="3FF7B459" w14:textId="1CCEA33C" w:rsidR="009970CE" w:rsidRDefault="009970CE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1A7BD4E3" w14:textId="4AC0EA46" w:rsidR="00563A7A" w:rsidRPr="003E2027" w:rsidRDefault="00563A7A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3E2027">
              <w:rPr>
                <w:rFonts w:ascii="Calibri" w:hAnsi="Calibri" w:cs="Arial"/>
                <w:color w:val="000000" w:themeColor="text1"/>
              </w:rPr>
              <w:t>V projektové a předprojektové fázi nebylo umožněno za plného provozu provést stavebně technický průzkum s důkladným průzkumem skladeb konstrukcí z důvodu obsazenosti bytů a ne</w:t>
            </w:r>
            <w:r w:rsidR="00BF38AD">
              <w:rPr>
                <w:rFonts w:ascii="Calibri" w:hAnsi="Calibri" w:cs="Arial"/>
                <w:color w:val="000000" w:themeColor="text1"/>
              </w:rPr>
              <w:t>umožnění</w:t>
            </w:r>
            <w:r w:rsidRPr="003E2027">
              <w:rPr>
                <w:rFonts w:ascii="Calibri" w:hAnsi="Calibri" w:cs="Arial"/>
                <w:color w:val="000000" w:themeColor="text1"/>
              </w:rPr>
              <w:t xml:space="preserve"> přístupu do nich.</w:t>
            </w:r>
          </w:p>
          <w:p w14:paraId="1BA2C9BB" w14:textId="32337402" w:rsidR="00563A7A" w:rsidRPr="003E2027" w:rsidRDefault="00BF38AD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Návrh</w:t>
            </w:r>
            <w:r w:rsidR="00563A7A" w:rsidRPr="003E2027">
              <w:rPr>
                <w:rFonts w:ascii="Calibri" w:hAnsi="Calibri" w:cs="Arial"/>
                <w:color w:val="000000" w:themeColor="text1"/>
              </w:rPr>
              <w:t xml:space="preserve"> </w:t>
            </w:r>
            <w:r>
              <w:rPr>
                <w:rFonts w:ascii="Calibri" w:hAnsi="Calibri" w:cs="Arial"/>
                <w:color w:val="000000" w:themeColor="text1"/>
              </w:rPr>
              <w:t xml:space="preserve">řešení provedení rekonstrukce střešní části </w:t>
            </w:r>
            <w:r w:rsidR="00563A7A" w:rsidRPr="003E2027">
              <w:rPr>
                <w:rFonts w:ascii="Calibri" w:hAnsi="Calibri" w:cs="Arial"/>
                <w:color w:val="000000" w:themeColor="text1"/>
              </w:rPr>
              <w:t xml:space="preserve">byl </w:t>
            </w:r>
            <w:r>
              <w:rPr>
                <w:rFonts w:ascii="Calibri" w:hAnsi="Calibri" w:cs="Arial"/>
                <w:color w:val="000000" w:themeColor="text1"/>
              </w:rPr>
              <w:t>navržen</w:t>
            </w:r>
            <w:r w:rsidR="00563A7A" w:rsidRPr="003E2027">
              <w:rPr>
                <w:rFonts w:ascii="Calibri" w:hAnsi="Calibri" w:cs="Arial"/>
                <w:color w:val="000000" w:themeColor="text1"/>
              </w:rPr>
              <w:t xml:space="preserve"> dle dodaných podkladů</w:t>
            </w:r>
            <w:r w:rsidR="00502715">
              <w:rPr>
                <w:rFonts w:ascii="Calibri" w:hAnsi="Calibri" w:cs="Arial"/>
                <w:color w:val="000000" w:themeColor="text1"/>
              </w:rPr>
              <w:t xml:space="preserve"> a průzkumu zpřístupněných prostor. Na základě těchto podkladů byl projekt zpracován. </w:t>
            </w:r>
            <w:r w:rsidR="00563A7A" w:rsidRPr="003E2027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4F21C66D" w14:textId="77777777" w:rsidR="00563A7A" w:rsidRPr="003E2027" w:rsidRDefault="00563A7A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3E2027">
              <w:rPr>
                <w:rFonts w:ascii="Calibri" w:hAnsi="Calibri" w:cs="Arial"/>
                <w:color w:val="000000" w:themeColor="text1"/>
              </w:rPr>
              <w:t xml:space="preserve">S provedením důkladného průzkumu bylo počítáno v rámci samotné realizace při postupném odkrývání konstrukce. </w:t>
            </w:r>
          </w:p>
          <w:p w14:paraId="5DC625FA" w14:textId="77777777" w:rsidR="00563A7A" w:rsidRPr="003E2027" w:rsidRDefault="00563A7A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3E2027">
              <w:rPr>
                <w:rFonts w:ascii="Calibri" w:hAnsi="Calibri" w:cs="Arial"/>
                <w:color w:val="000000" w:themeColor="text1"/>
              </w:rPr>
              <w:t xml:space="preserve">Výsledné vícepráce vycházejí až z aktuálního stavu konstrukcí a výrobků při jejich postupném odkrývání během realizace. </w:t>
            </w:r>
          </w:p>
          <w:p w14:paraId="15ABD49E" w14:textId="77777777" w:rsidR="00563A7A" w:rsidRPr="003E2027" w:rsidRDefault="00563A7A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7C088158" w14:textId="77777777" w:rsidR="00563A7A" w:rsidRPr="003E2027" w:rsidRDefault="00563A7A" w:rsidP="00563A7A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3E2027">
              <w:rPr>
                <w:rFonts w:ascii="Calibri" w:hAnsi="Calibri" w:cs="Arial"/>
                <w:color w:val="000000" w:themeColor="text1"/>
              </w:rPr>
              <w:t>Jedná se o změnu dle čl. IV., odst. 6a) dle SoD ze dne 26. 10. 2020</w:t>
            </w:r>
          </w:p>
          <w:p w14:paraId="2043FEB9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B8FD30D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7A07D6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3142D72" w14:textId="77777777" w:rsidR="00563A7A" w:rsidRPr="002550FC" w:rsidRDefault="00563A7A" w:rsidP="00563A7A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2550FC">
              <w:rPr>
                <w:rFonts w:ascii="Calibri" w:hAnsi="Calibri" w:cs="Calibri"/>
                <w:color w:val="000000" w:themeColor="text1"/>
              </w:rPr>
              <w:t>Nově navržená skladby střešní konstrukce byla posouzena podle ČSN 73 0540-2:2011 – viz příloha. Dotčená změna nebude mít negativní vliv na původní deklarovanou výši úspory</w:t>
            </w:r>
            <w:r w:rsidRPr="002550FC">
              <w:rPr>
                <w:rFonts w:ascii="Calibri" w:hAnsi="Calibri" w:cs="Arial"/>
                <w:bCs/>
                <w:color w:val="FF0000"/>
              </w:rPr>
              <w:t xml:space="preserve"> 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Příloha: </w:t>
            </w:r>
          </w:p>
          <w:p w14:paraId="18A1CEAA" w14:textId="525D45D6" w:rsidR="00B3207B" w:rsidRPr="00BE7F8F" w:rsidRDefault="00B3207B" w:rsidP="00B3207B">
            <w:pPr>
              <w:spacing w:after="120"/>
              <w:rPr>
                <w:rFonts w:ascii="Calibri" w:hAnsi="Calibri"/>
              </w:rPr>
            </w:pPr>
            <w:r w:rsidRPr="00BE7F8F">
              <w:rPr>
                <w:rFonts w:ascii="Calibri" w:hAnsi="Calibri"/>
              </w:rPr>
              <w:t xml:space="preserve">Rozpočet ZL č. </w:t>
            </w:r>
            <w:r w:rsidR="00FF684E" w:rsidRPr="00BE7F8F">
              <w:rPr>
                <w:rFonts w:ascii="Calibri" w:hAnsi="Calibri"/>
              </w:rPr>
              <w:t>2</w:t>
            </w:r>
          </w:p>
          <w:p w14:paraId="310497B3" w14:textId="69DE3B42" w:rsidR="00B3207B" w:rsidRPr="00BE7F8F" w:rsidRDefault="00B3207B" w:rsidP="00B3207B">
            <w:pPr>
              <w:spacing w:after="120"/>
              <w:rPr>
                <w:rFonts w:ascii="Calibri" w:hAnsi="Calibri"/>
              </w:rPr>
            </w:pPr>
            <w:r w:rsidRPr="00BE7F8F">
              <w:rPr>
                <w:rFonts w:ascii="Calibri" w:hAnsi="Calibri"/>
              </w:rPr>
              <w:t xml:space="preserve">Změnový list č. </w:t>
            </w:r>
            <w:r w:rsidR="00FF684E" w:rsidRPr="00BE7F8F">
              <w:rPr>
                <w:rFonts w:ascii="Calibri" w:hAnsi="Calibri"/>
              </w:rPr>
              <w:t>2</w:t>
            </w:r>
          </w:p>
          <w:p w14:paraId="7B388227" w14:textId="3A0FBF4C" w:rsidR="00BE7F8F" w:rsidRPr="0024741F" w:rsidRDefault="00BE7F8F" w:rsidP="00BE7F8F">
            <w:pPr>
              <w:spacing w:after="120"/>
              <w:rPr>
                <w:rFonts w:ascii="Calibri" w:hAnsi="Calibri"/>
                <w:highlight w:val="yellow"/>
              </w:rPr>
            </w:pPr>
            <w:r w:rsidRPr="00BE7F8F">
              <w:rPr>
                <w:rFonts w:ascii="Calibri" w:hAnsi="Calibri"/>
              </w:rPr>
              <w:t>Posouzení konstrukce – skladba RO1 změna</w:t>
            </w: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38D70592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FF684E">
              <w:rPr>
                <w:rFonts w:ascii="Calibri" w:hAnsi="Calibri"/>
                <w:sz w:val="28"/>
              </w:rPr>
              <w:t>2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410F5B6D" w:rsidR="00B3207B" w:rsidRPr="000D7E15" w:rsidRDefault="00311EEC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17.6.2021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2D09E4D4" w14:textId="77777777" w:rsidR="001D5968" w:rsidRDefault="001D5968" w:rsidP="001D5968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Změna způsobu realizace střešního pláště a jeho skladby, demontáž starých a realizace nových SDK podhledů ve 3.NP</w:t>
            </w:r>
          </w:p>
          <w:p w14:paraId="08A6D0E1" w14:textId="77777777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5E4B57E9" w14:textId="7AC349C3" w:rsidR="007579CC" w:rsidRDefault="007579CC" w:rsidP="00563A7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Navržené řešení bylo zpracováno dle požadavků investora – provedení rekonstrukce střešního pláště z exteriéru bez nutnosti zásahu z interiérové části</w:t>
            </w:r>
            <w:r w:rsidR="00FB3E45">
              <w:rPr>
                <w:rFonts w:cstheme="minorHAnsi"/>
              </w:rPr>
              <w:t xml:space="preserve"> z důvodu obsazenosti bytů. </w:t>
            </w:r>
          </w:p>
          <w:p w14:paraId="1EEF2213" w14:textId="19AD3B9A" w:rsidR="004D0D24" w:rsidRDefault="004D0D24" w:rsidP="00FB3E45">
            <w:pPr>
              <w:rPr>
                <w:rFonts w:cstheme="minorHAnsi"/>
              </w:rPr>
            </w:pPr>
            <w:r w:rsidRPr="004D0D24">
              <w:rPr>
                <w:rFonts w:cstheme="minorHAnsi"/>
              </w:rPr>
              <w:t xml:space="preserve">Návrh skladby </w:t>
            </w:r>
            <w:r w:rsidR="00FB3E45" w:rsidRPr="004D0D24">
              <w:rPr>
                <w:rFonts w:cstheme="minorHAnsi"/>
              </w:rPr>
              <w:t xml:space="preserve">střešního pláště byl proveden </w:t>
            </w:r>
            <w:r w:rsidR="003F3301">
              <w:rPr>
                <w:rFonts w:cstheme="minorHAnsi"/>
              </w:rPr>
              <w:t>na základě</w:t>
            </w:r>
            <w:r w:rsidRPr="004D0D24">
              <w:rPr>
                <w:rFonts w:cstheme="minorHAnsi"/>
              </w:rPr>
              <w:t xml:space="preserve"> dodané </w:t>
            </w:r>
            <w:r w:rsidR="00FB3E45" w:rsidRPr="004D0D24">
              <w:rPr>
                <w:rFonts w:cstheme="minorHAnsi"/>
              </w:rPr>
              <w:t>projektové dokumentace</w:t>
            </w:r>
            <w:r w:rsidRPr="004D0D24">
              <w:rPr>
                <w:rFonts w:cstheme="minorHAnsi"/>
              </w:rPr>
              <w:t xml:space="preserve"> </w:t>
            </w:r>
            <w:r w:rsidR="009C0818">
              <w:rPr>
                <w:rFonts w:cstheme="minorHAnsi"/>
              </w:rPr>
              <w:t>pro stavební povolení</w:t>
            </w:r>
            <w:r w:rsidR="00375E7C">
              <w:rPr>
                <w:rFonts w:cstheme="minorHAnsi"/>
              </w:rPr>
              <w:t xml:space="preserve"> a koncepce řešení z tohoto podkladu vycházela. </w:t>
            </w:r>
          </w:p>
          <w:p w14:paraId="1D4AB4B2" w14:textId="65559F53" w:rsidR="00375E7C" w:rsidRPr="004D0D24" w:rsidRDefault="00375E7C" w:rsidP="00FB3E45">
            <w:pPr>
              <w:rPr>
                <w:rFonts w:cstheme="minorHAnsi"/>
              </w:rPr>
            </w:pPr>
            <w:r>
              <w:rPr>
                <w:rFonts w:cstheme="minorHAnsi"/>
              </w:rPr>
              <w:t>Při průzkumu byly provedeny sondy a průzkumy v přístupných částech objektu</w:t>
            </w:r>
            <w:r w:rsidR="003F3301">
              <w:rPr>
                <w:rFonts w:cstheme="minorHAnsi"/>
              </w:rPr>
              <w:t xml:space="preserve"> mimo bytové jednotky.</w:t>
            </w:r>
            <w:r>
              <w:rPr>
                <w:rFonts w:cstheme="minorHAnsi"/>
              </w:rPr>
              <w:t xml:space="preserve"> </w:t>
            </w:r>
          </w:p>
          <w:p w14:paraId="64780942" w14:textId="690C1842" w:rsidR="00FB3E45" w:rsidRDefault="004D0D24" w:rsidP="00FB3E45">
            <w:pPr>
              <w:rPr>
                <w:rFonts w:cstheme="minorHAnsi"/>
              </w:rPr>
            </w:pPr>
            <w:r w:rsidRPr="004D0D24">
              <w:rPr>
                <w:rFonts w:cstheme="minorHAnsi"/>
              </w:rPr>
              <w:t xml:space="preserve">Během postupného odkrývání střešní konstrukce při realizaci stavby </w:t>
            </w:r>
            <w:r w:rsidR="00FB3E45" w:rsidRPr="004D0D24">
              <w:rPr>
                <w:rFonts w:cstheme="minorHAnsi"/>
              </w:rPr>
              <w:t>se zjistilo, že původní projektová dokumentace</w:t>
            </w:r>
            <w:r w:rsidR="00375E7C">
              <w:rPr>
                <w:rFonts w:cstheme="minorHAnsi"/>
              </w:rPr>
              <w:t xml:space="preserve"> ve všech místech</w:t>
            </w:r>
            <w:r w:rsidR="00FB3E45" w:rsidRPr="004D0D24">
              <w:rPr>
                <w:rFonts w:cstheme="minorHAnsi"/>
              </w:rPr>
              <w:t xml:space="preserve"> neodpovídá skutečnosti – chybí </w:t>
            </w:r>
            <w:r w:rsidRPr="004D0D24">
              <w:rPr>
                <w:rFonts w:cstheme="minorHAnsi"/>
              </w:rPr>
              <w:t>dřevěný</w:t>
            </w:r>
            <w:r w:rsidR="00FB3E45" w:rsidRPr="004D0D24">
              <w:rPr>
                <w:rFonts w:cstheme="minorHAnsi"/>
              </w:rPr>
              <w:t xml:space="preserve"> záklop</w:t>
            </w:r>
            <w:r w:rsidRPr="004D0D24">
              <w:rPr>
                <w:rFonts w:cstheme="minorHAnsi"/>
              </w:rPr>
              <w:t xml:space="preserve"> nad SDK podhledem, který je stěžejní pro provedení parotěsné vrstvy ze strany exteriéru</w:t>
            </w:r>
            <w:r w:rsidR="00FB3E45" w:rsidRPr="004D0D24">
              <w:rPr>
                <w:rFonts w:cstheme="minorHAnsi"/>
              </w:rPr>
              <w:t xml:space="preserve">, a proto je nutné změnit skladbu střešního pláště a </w:t>
            </w:r>
            <w:r>
              <w:rPr>
                <w:rFonts w:cstheme="minorHAnsi"/>
              </w:rPr>
              <w:t>nově provést</w:t>
            </w:r>
            <w:r w:rsidR="00FB3E45" w:rsidRPr="004D0D24">
              <w:rPr>
                <w:rFonts w:cstheme="minorHAnsi"/>
              </w:rPr>
              <w:t xml:space="preserve"> SDK </w:t>
            </w:r>
            <w:r w:rsidR="003F3301">
              <w:rPr>
                <w:rFonts w:cstheme="minorHAnsi"/>
              </w:rPr>
              <w:t>podhled kvůli demontáži při provádění rekonstrukce střešního pláště</w:t>
            </w:r>
            <w:r w:rsidR="00FB3E45" w:rsidRPr="004D0D24">
              <w:rPr>
                <w:rFonts w:cstheme="minorHAnsi"/>
              </w:rPr>
              <w:t>.</w:t>
            </w:r>
            <w:r w:rsidR="00FB3E45" w:rsidRPr="00FB3E45">
              <w:rPr>
                <w:rFonts w:cstheme="minorHAnsi"/>
              </w:rPr>
              <w:t xml:space="preserve"> </w:t>
            </w:r>
            <w:r w:rsidR="00375E7C">
              <w:rPr>
                <w:rFonts w:cstheme="minorHAnsi"/>
              </w:rPr>
              <w:t xml:space="preserve">Absence dřevěného záklopu nebyla při průzkumu zjištěna, jednalo se o plochu bytů, kde nebyl povolen zásah do konstrukce za účelem sondy. </w:t>
            </w:r>
          </w:p>
          <w:p w14:paraId="165B3DB6" w14:textId="77777777" w:rsidR="00375E7C" w:rsidRPr="00FB3E45" w:rsidRDefault="00375E7C" w:rsidP="00FB3E45">
            <w:pPr>
              <w:rPr>
                <w:rFonts w:cstheme="minorHAnsi"/>
              </w:rPr>
            </w:pPr>
          </w:p>
          <w:p w14:paraId="22A2B5A9" w14:textId="139F5972" w:rsidR="00A62817" w:rsidRDefault="00A62817" w:rsidP="00563A7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Postup řešení: </w:t>
            </w:r>
          </w:p>
          <w:p w14:paraId="4F429552" w14:textId="77777777" w:rsidR="00375E7C" w:rsidRDefault="00375E7C" w:rsidP="00375E7C">
            <w:pPr>
              <w:spacing w:after="120"/>
              <w:rPr>
                <w:rFonts w:cstheme="minorHAnsi"/>
              </w:rPr>
            </w:pPr>
            <w:r w:rsidRPr="00375E7C">
              <w:rPr>
                <w:rFonts w:cstheme="minorHAnsi"/>
              </w:rPr>
              <w:t>POŽADAVEK INVESTORA</w:t>
            </w:r>
            <w:r>
              <w:rPr>
                <w:rFonts w:cstheme="minorHAnsi"/>
              </w:rPr>
              <w:t>:</w:t>
            </w:r>
          </w:p>
          <w:p w14:paraId="20EE89B4" w14:textId="2BB9BF91" w:rsidR="00375E7C" w:rsidRPr="00375E7C" w:rsidRDefault="00375E7C" w:rsidP="00375E7C">
            <w:pPr>
              <w:pStyle w:val="Odstavecseseznamem"/>
              <w:numPr>
                <w:ilvl w:val="0"/>
                <w:numId w:val="7"/>
              </w:numPr>
              <w:spacing w:after="120"/>
              <w:rPr>
                <w:rFonts w:cstheme="minorHAnsi"/>
              </w:rPr>
            </w:pPr>
            <w:r w:rsidRPr="00375E7C">
              <w:rPr>
                <w:rFonts w:cstheme="minorHAnsi"/>
              </w:rPr>
              <w:t xml:space="preserve">provedení stavby ze strany exteriéru bez nutnosti vstupovat do bytových jednotek </w:t>
            </w:r>
          </w:p>
          <w:p w14:paraId="63372AB3" w14:textId="455B32A1" w:rsidR="00A62817" w:rsidRDefault="00A62817" w:rsidP="00563A7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PODKLADY: </w:t>
            </w:r>
          </w:p>
          <w:p w14:paraId="669595C3" w14:textId="5C183638" w:rsidR="00A62817" w:rsidRDefault="00A62817" w:rsidP="00A62817">
            <w:pPr>
              <w:pStyle w:val="Odstavecseseznamem"/>
              <w:numPr>
                <w:ilvl w:val="0"/>
                <w:numId w:val="7"/>
              </w:num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Stávající projektová dokumentace </w:t>
            </w:r>
          </w:p>
          <w:p w14:paraId="27E4F2AA" w14:textId="140C7439" w:rsidR="00A62817" w:rsidRDefault="00A62817" w:rsidP="00A62817">
            <w:pPr>
              <w:pStyle w:val="Odstavecseseznamem"/>
              <w:numPr>
                <w:ilvl w:val="0"/>
                <w:numId w:val="7"/>
              </w:num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Průzkum na stavbě </w:t>
            </w:r>
          </w:p>
          <w:p w14:paraId="3CD3597E" w14:textId="40D5E810" w:rsidR="00A62817" w:rsidRDefault="00A62817" w:rsidP="00A62817">
            <w:pPr>
              <w:pStyle w:val="Odstavecseseznamem"/>
              <w:numPr>
                <w:ilvl w:val="0"/>
                <w:numId w:val="7"/>
              </w:num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Provedení sond ve společných prostorech bez vstupu do bytových jednotek </w:t>
            </w:r>
          </w:p>
          <w:p w14:paraId="69347E5C" w14:textId="30FB5D92" w:rsidR="00A62817" w:rsidRDefault="00A62817" w:rsidP="00A62817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PROVÁDĚNÍ STAVBY: </w:t>
            </w:r>
          </w:p>
          <w:p w14:paraId="3641684E" w14:textId="60357047" w:rsidR="00A62817" w:rsidRDefault="00A62817" w:rsidP="00A62817">
            <w:pPr>
              <w:pStyle w:val="Odstavecseseznamem"/>
              <w:numPr>
                <w:ilvl w:val="0"/>
                <w:numId w:val="7"/>
              </w:num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Při postupném odkrývání z</w:t>
            </w:r>
            <w:r w:rsidR="00502715">
              <w:rPr>
                <w:rFonts w:cstheme="minorHAnsi"/>
              </w:rPr>
              <w:t> </w:t>
            </w:r>
            <w:r>
              <w:rPr>
                <w:rFonts w:cstheme="minorHAnsi"/>
              </w:rPr>
              <w:t>exteriéru</w:t>
            </w:r>
            <w:r w:rsidR="00502715">
              <w:rPr>
                <w:rFonts w:cstheme="minorHAnsi"/>
              </w:rPr>
              <w:t xml:space="preserve"> byly</w:t>
            </w:r>
            <w:r>
              <w:rPr>
                <w:rFonts w:cstheme="minorHAnsi"/>
              </w:rPr>
              <w:t xml:space="preserve"> zjištěny skutečnosti, které neodpovídaly podkladům ani provedeným sondám</w:t>
            </w:r>
            <w:r w:rsidR="00502715">
              <w:rPr>
                <w:rFonts w:cstheme="minorHAnsi"/>
              </w:rPr>
              <w:t xml:space="preserve"> v jiném </w:t>
            </w:r>
            <w:r w:rsidR="009C0818">
              <w:rPr>
                <w:rFonts w:cstheme="minorHAnsi"/>
              </w:rPr>
              <w:t>místě</w:t>
            </w:r>
            <w:r w:rsidR="00502715">
              <w:rPr>
                <w:rFonts w:cstheme="minorHAnsi"/>
              </w:rPr>
              <w:t xml:space="preserve"> </w:t>
            </w:r>
          </w:p>
          <w:p w14:paraId="1FEBAE66" w14:textId="296D2312" w:rsidR="00A62817" w:rsidRDefault="00A62817" w:rsidP="00A62817">
            <w:pPr>
              <w:pStyle w:val="Odstavecseseznamem"/>
              <w:numPr>
                <w:ilvl w:val="0"/>
                <w:numId w:val="7"/>
              </w:num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Stěžejní konstrukce </w:t>
            </w:r>
            <w:r w:rsidR="00BF38AD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BF38AD">
              <w:rPr>
                <w:rFonts w:cstheme="minorHAnsi"/>
              </w:rPr>
              <w:t>dřevěný záklop nad podhledem</w:t>
            </w:r>
            <w:r>
              <w:rPr>
                <w:rFonts w:cstheme="minorHAnsi"/>
              </w:rPr>
              <w:t xml:space="preserve">, která byla základem pro zhotovení navržené sklady, </w:t>
            </w:r>
            <w:r w:rsidR="00BF38AD">
              <w:rPr>
                <w:rFonts w:cstheme="minorHAnsi"/>
              </w:rPr>
              <w:t>není na stavbě realizována</w:t>
            </w:r>
            <w:r w:rsidR="003F3301">
              <w:rPr>
                <w:rFonts w:cstheme="minorHAnsi"/>
              </w:rPr>
              <w:t xml:space="preserve">, nelze tedy navrženou skladbu bez vad provést </w:t>
            </w:r>
          </w:p>
          <w:p w14:paraId="6D5B4E44" w14:textId="09FD9BDD" w:rsidR="00BF38AD" w:rsidRDefault="00BF38AD" w:rsidP="00BF38A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NÁVRH: </w:t>
            </w:r>
          </w:p>
          <w:p w14:paraId="61511A77" w14:textId="754870CF" w:rsidR="00BF38AD" w:rsidRDefault="00BF38AD" w:rsidP="00BF38AD">
            <w:pPr>
              <w:pStyle w:val="Odstavecseseznamem"/>
              <w:numPr>
                <w:ilvl w:val="0"/>
                <w:numId w:val="7"/>
              </w:num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Bylo navrženo nové řešení </w:t>
            </w:r>
            <w:r w:rsidR="003F3301">
              <w:rPr>
                <w:rFonts w:cstheme="minorHAnsi"/>
              </w:rPr>
              <w:t>rekonstrukce střešního pláště</w:t>
            </w:r>
            <w:r>
              <w:rPr>
                <w:rFonts w:cstheme="minorHAnsi"/>
              </w:rPr>
              <w:t xml:space="preserve"> realizovatelné pouze ze strany interiéru</w:t>
            </w:r>
            <w:r w:rsidR="003F3301">
              <w:rPr>
                <w:rFonts w:cstheme="minorHAnsi"/>
              </w:rPr>
              <w:t xml:space="preserve"> s nutnou demontáží stávajícího SDK podhledu </w:t>
            </w:r>
          </w:p>
          <w:p w14:paraId="4C8B62B4" w14:textId="0AAC75FE" w:rsidR="00BF38AD" w:rsidRDefault="00BF38AD" w:rsidP="00BF38AD">
            <w:pPr>
              <w:pStyle w:val="Odstavecseseznamem"/>
              <w:numPr>
                <w:ilvl w:val="0"/>
                <w:numId w:val="7"/>
              </w:num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Součástí řešení je nový návrh SDK podhledu v nejvyšším podlaží</w:t>
            </w:r>
          </w:p>
          <w:p w14:paraId="63468532" w14:textId="77777777" w:rsidR="00375E7C" w:rsidRDefault="00375E7C" w:rsidP="00FF684E">
            <w:pPr>
              <w:spacing w:after="120"/>
              <w:rPr>
                <w:rFonts w:cstheme="minorHAnsi"/>
              </w:rPr>
            </w:pPr>
          </w:p>
          <w:p w14:paraId="730FA7B2" w14:textId="0EF189F7" w:rsidR="003F3301" w:rsidRPr="00B3207B" w:rsidRDefault="003F3301" w:rsidP="00FF684E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5E59F554" w:rsidR="00B3207B" w:rsidRPr="000D7E15" w:rsidRDefault="00B3207B" w:rsidP="00516306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</w:t>
            </w:r>
            <w:r w:rsidR="00AE7C57">
              <w:rPr>
                <w:rFonts w:ascii="Calibri" w:hAnsi="Calibri"/>
              </w:rPr>
              <w:t>3</w:t>
            </w:r>
            <w:r w:rsidRPr="000D7E15">
              <w:rPr>
                <w:rFonts w:ascii="Calibri" w:hAnsi="Calibri"/>
              </w:rPr>
              <w:t xml:space="preserve">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3DE3A8CF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 </w:t>
            </w:r>
            <w:r w:rsidR="00F44CCB">
              <w:rPr>
                <w:rFonts w:ascii="Calibri" w:hAnsi="Calibri"/>
              </w:rPr>
              <w:t>1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BE7F8F" w:rsidRDefault="00B3207B" w:rsidP="00B3207B">
            <w:pPr>
              <w:rPr>
                <w:rFonts w:ascii="Calibri" w:hAnsi="Calibri"/>
              </w:rPr>
            </w:pPr>
            <w:r w:rsidRPr="00BE7F8F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BE7F8F" w:rsidRDefault="00F3269A" w:rsidP="00B3207B">
            <w:pPr>
              <w:rPr>
                <w:rFonts w:ascii="Calibri" w:hAnsi="Calibri"/>
              </w:rPr>
            </w:pPr>
          </w:p>
          <w:p w14:paraId="1C5C0DF2" w14:textId="1068A930" w:rsidR="00B3207B" w:rsidRPr="00BE7F8F" w:rsidRDefault="00B3207B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BE7F8F">
              <w:rPr>
                <w:rFonts w:ascii="Calibri" w:hAnsi="Calibri"/>
                <w:b/>
              </w:rPr>
              <w:t>0,-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BE7F8F" w:rsidRDefault="00B3207B" w:rsidP="00B3207B">
            <w:pPr>
              <w:rPr>
                <w:rFonts w:ascii="Calibri" w:hAnsi="Calibri"/>
              </w:rPr>
            </w:pPr>
            <w:r w:rsidRPr="00BE7F8F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BE7F8F" w:rsidRDefault="00F3269A" w:rsidP="00B3207B">
            <w:pPr>
              <w:rPr>
                <w:rFonts w:ascii="Calibri" w:hAnsi="Calibri"/>
              </w:rPr>
            </w:pPr>
          </w:p>
          <w:p w14:paraId="128FC646" w14:textId="43E9D2F7" w:rsidR="00B3207B" w:rsidRPr="00BE7F8F" w:rsidRDefault="00495FD5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BE7F8F">
              <w:rPr>
                <w:rFonts w:ascii="Calibri" w:hAnsi="Calibri" w:cs="Calibri"/>
                <w:b/>
              </w:rPr>
              <w:t xml:space="preserve">814.032,77 </w:t>
            </w:r>
            <w:r w:rsidRPr="00BE7F8F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BE7F8F" w:rsidRDefault="00660B60" w:rsidP="004A3E77">
            <w:pPr>
              <w:spacing w:after="120"/>
              <w:rPr>
                <w:rFonts w:ascii="Calibri" w:hAnsi="Calibri"/>
              </w:rPr>
            </w:pPr>
            <w:r w:rsidRPr="00BE7F8F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BE7F8F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4E3F53E3" w:rsidR="00660B60" w:rsidRPr="00BE7F8F" w:rsidRDefault="00495FD5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BE7F8F">
              <w:rPr>
                <w:rFonts w:ascii="Calibri" w:hAnsi="Calibri" w:cs="Calibri"/>
                <w:b/>
              </w:rPr>
              <w:t>814.032,77</w:t>
            </w:r>
            <w:r w:rsidR="0024741F" w:rsidRPr="00BE7F8F">
              <w:rPr>
                <w:rFonts w:ascii="Calibri" w:hAnsi="Calibri" w:cs="Calibri"/>
                <w:b/>
              </w:rPr>
              <w:t xml:space="preserve"> </w:t>
            </w:r>
            <w:r w:rsidR="0024741F" w:rsidRPr="00BE7F8F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BE7F8F" w:rsidRDefault="00660B60" w:rsidP="004A3E77">
            <w:pPr>
              <w:spacing w:after="120"/>
              <w:rPr>
                <w:rFonts w:ascii="Calibri" w:hAnsi="Calibri"/>
              </w:rPr>
            </w:pPr>
            <w:r w:rsidRPr="00BE7F8F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BE7F8F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BE7F8F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BE7F8F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BE7F8F" w:rsidRDefault="00660B60" w:rsidP="00153625">
            <w:pPr>
              <w:rPr>
                <w:rFonts w:ascii="Calibri" w:hAnsi="Calibri"/>
              </w:rPr>
            </w:pPr>
            <w:r w:rsidRPr="00BE7F8F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Pr="00BE7F8F" w:rsidRDefault="00660B60" w:rsidP="00660B60">
            <w:pPr>
              <w:rPr>
                <w:rFonts w:ascii="Calibri" w:hAnsi="Calibri"/>
              </w:rPr>
            </w:pPr>
            <w:r w:rsidRPr="00BE7F8F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Pr="00BE7F8F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Pr="00BE7F8F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Pr="00BE7F8F" w:rsidRDefault="00660B60" w:rsidP="00660B60">
            <w:pPr>
              <w:rPr>
                <w:rFonts w:ascii="Calibri" w:hAnsi="Calibri"/>
              </w:rPr>
            </w:pPr>
          </w:p>
          <w:p w14:paraId="3201E85D" w14:textId="260806BB" w:rsidR="00660B60" w:rsidRPr="00BE7F8F" w:rsidRDefault="00660B60" w:rsidP="00660B60">
            <w:pPr>
              <w:rPr>
                <w:rFonts w:ascii="Calibri" w:hAnsi="Calibri"/>
              </w:rPr>
            </w:pPr>
            <w:r w:rsidRPr="00BE7F8F">
              <w:rPr>
                <w:rFonts w:ascii="Calibri" w:hAnsi="Calibri"/>
              </w:rPr>
              <w:t xml:space="preserve">Datum:  </w:t>
            </w:r>
            <w:r w:rsidR="00BE7F8F" w:rsidRPr="00BE7F8F">
              <w:rPr>
                <w:rFonts w:ascii="Calibri" w:hAnsi="Calibri"/>
              </w:rPr>
              <w:t>17.6.2021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Pr="00BE7F8F" w:rsidRDefault="00660B60" w:rsidP="00660B60">
            <w:pPr>
              <w:rPr>
                <w:rFonts w:ascii="Calibri" w:hAnsi="Calibri"/>
              </w:rPr>
            </w:pPr>
            <w:r w:rsidRPr="00BE7F8F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Pr="00BE7F8F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Pr="00BE7F8F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Pr="00BE7F8F" w:rsidRDefault="00660B60" w:rsidP="00660B60">
            <w:pPr>
              <w:rPr>
                <w:rFonts w:ascii="Calibri" w:hAnsi="Calibri"/>
              </w:rPr>
            </w:pPr>
          </w:p>
          <w:p w14:paraId="0E3C185F" w14:textId="65FEF91A" w:rsidR="00660B60" w:rsidRPr="00BE7F8F" w:rsidRDefault="00660B60" w:rsidP="00660B60">
            <w:pPr>
              <w:rPr>
                <w:rFonts w:ascii="Calibri" w:hAnsi="Calibri"/>
              </w:rPr>
            </w:pPr>
            <w:r w:rsidRPr="00BE7F8F">
              <w:rPr>
                <w:rFonts w:ascii="Calibri" w:hAnsi="Calibri"/>
              </w:rPr>
              <w:t xml:space="preserve">Datum:  </w:t>
            </w:r>
            <w:r w:rsidR="00BE7F8F" w:rsidRPr="00BE7F8F">
              <w:rPr>
                <w:rFonts w:ascii="Calibri" w:hAnsi="Calibri"/>
              </w:rPr>
              <w:t>17.6.2021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93C6A" w14:textId="77777777" w:rsidR="006A37B8" w:rsidRDefault="006A37B8" w:rsidP="00660B60">
      <w:pPr>
        <w:spacing w:after="0" w:line="240" w:lineRule="auto"/>
      </w:pPr>
      <w:r>
        <w:separator/>
      </w:r>
    </w:p>
  </w:endnote>
  <w:endnote w:type="continuationSeparator" w:id="0">
    <w:p w14:paraId="4979D47C" w14:textId="77777777" w:rsidR="006A37B8" w:rsidRDefault="006A37B8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2E5F7" w14:textId="77777777" w:rsidR="006A37B8" w:rsidRDefault="006A37B8" w:rsidP="00660B60">
      <w:pPr>
        <w:spacing w:after="0" w:line="240" w:lineRule="auto"/>
      </w:pPr>
      <w:r>
        <w:separator/>
      </w:r>
    </w:p>
  </w:footnote>
  <w:footnote w:type="continuationSeparator" w:id="0">
    <w:p w14:paraId="15E4ADC2" w14:textId="77777777" w:rsidR="006A37B8" w:rsidRDefault="006A37B8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B439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C2511"/>
    <w:multiLevelType w:val="hybridMultilevel"/>
    <w:tmpl w:val="68D8AF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94076EB"/>
    <w:multiLevelType w:val="hybridMultilevel"/>
    <w:tmpl w:val="21CCFB60"/>
    <w:lvl w:ilvl="0" w:tplc="A59616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7B"/>
    <w:rsid w:val="000470E0"/>
    <w:rsid w:val="000D6721"/>
    <w:rsid w:val="00134F64"/>
    <w:rsid w:val="00153625"/>
    <w:rsid w:val="00196D83"/>
    <w:rsid w:val="001D5968"/>
    <w:rsid w:val="0024741F"/>
    <w:rsid w:val="00285C8C"/>
    <w:rsid w:val="00294557"/>
    <w:rsid w:val="002A1F21"/>
    <w:rsid w:val="002A23FD"/>
    <w:rsid w:val="00311EEC"/>
    <w:rsid w:val="003162B0"/>
    <w:rsid w:val="003668D0"/>
    <w:rsid w:val="00367029"/>
    <w:rsid w:val="00375E7C"/>
    <w:rsid w:val="003F3301"/>
    <w:rsid w:val="00440349"/>
    <w:rsid w:val="00495FD5"/>
    <w:rsid w:val="004A3E77"/>
    <w:rsid w:val="004D0D24"/>
    <w:rsid w:val="00502715"/>
    <w:rsid w:val="00563A7A"/>
    <w:rsid w:val="00657ABC"/>
    <w:rsid w:val="00660B60"/>
    <w:rsid w:val="006A37B8"/>
    <w:rsid w:val="006B3E6C"/>
    <w:rsid w:val="006D31F1"/>
    <w:rsid w:val="00721D63"/>
    <w:rsid w:val="007579CC"/>
    <w:rsid w:val="00870EBC"/>
    <w:rsid w:val="00881CCC"/>
    <w:rsid w:val="008F00F4"/>
    <w:rsid w:val="00922A06"/>
    <w:rsid w:val="00942C89"/>
    <w:rsid w:val="009970CE"/>
    <w:rsid w:val="009C0818"/>
    <w:rsid w:val="009C73D8"/>
    <w:rsid w:val="00A043C7"/>
    <w:rsid w:val="00A12755"/>
    <w:rsid w:val="00A1308A"/>
    <w:rsid w:val="00A37829"/>
    <w:rsid w:val="00A62817"/>
    <w:rsid w:val="00A71663"/>
    <w:rsid w:val="00A95F20"/>
    <w:rsid w:val="00AE7C57"/>
    <w:rsid w:val="00B3207B"/>
    <w:rsid w:val="00BE515F"/>
    <w:rsid w:val="00BE7F8F"/>
    <w:rsid w:val="00BF38AD"/>
    <w:rsid w:val="00C42177"/>
    <w:rsid w:val="00CA30F7"/>
    <w:rsid w:val="00CB19A7"/>
    <w:rsid w:val="00D535ED"/>
    <w:rsid w:val="00EE1CB3"/>
    <w:rsid w:val="00F0595F"/>
    <w:rsid w:val="00F27C21"/>
    <w:rsid w:val="00F3269A"/>
    <w:rsid w:val="00F44CCB"/>
    <w:rsid w:val="00F55735"/>
    <w:rsid w:val="00F905B7"/>
    <w:rsid w:val="00F96437"/>
    <w:rsid w:val="00FB3E45"/>
    <w:rsid w:val="00FD078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3D2F2C43-87F7-408C-BDA3-2049257A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Odstavecseseznamem">
    <w:name w:val="List Paragraph"/>
    <w:basedOn w:val="Normln"/>
    <w:uiPriority w:val="34"/>
    <w:qFormat/>
    <w:rsid w:val="00EE1C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95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375E7C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Chadimová Michaela - Energy Benefit Centre a.s.</dc:creator>
  <cp:lastModifiedBy>Krejčiříková Jaroslava</cp:lastModifiedBy>
  <cp:revision>3</cp:revision>
  <dcterms:created xsi:type="dcterms:W3CDTF">2021-07-13T11:10:00Z</dcterms:created>
  <dcterms:modified xsi:type="dcterms:W3CDTF">2021-07-13T11:10:00Z</dcterms:modified>
</cp:coreProperties>
</file>