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5C38" w14:textId="69666FDB" w:rsidR="00AF58D3" w:rsidRDefault="00057BE1" w:rsidP="00B25DAF">
      <w:pPr>
        <w:rPr>
          <w:rFonts w:ascii="UnitPro" w:hAnsi="UnitPro" w:cs="UnitPro"/>
        </w:rPr>
      </w:pPr>
      <w:r>
        <w:rPr>
          <w:rFonts w:ascii="UnitPro" w:hAnsi="UnitPro" w:cs="UnitPro"/>
        </w:rPr>
        <w:t xml:space="preserve">Příloha č. </w:t>
      </w:r>
      <w:r w:rsidR="000564F1">
        <w:rPr>
          <w:rFonts w:ascii="UnitPro" w:hAnsi="UnitPro" w:cs="UnitPro"/>
        </w:rPr>
        <w:t>1</w:t>
      </w:r>
      <w:r w:rsidR="00AF58D3" w:rsidRPr="00AF58D3">
        <w:rPr>
          <w:rFonts w:ascii="UnitPro" w:hAnsi="UnitPro" w:cs="UnitPro"/>
        </w:rPr>
        <w:t xml:space="preserve"> – ZA</w:t>
      </w:r>
      <w:r w:rsidR="000564F1">
        <w:rPr>
          <w:rFonts w:ascii="UnitPro" w:hAnsi="UnitPro" w:cs="UnitPro"/>
        </w:rPr>
        <w:t>K</w:t>
      </w:r>
      <w:r w:rsidR="00AF58D3" w:rsidRPr="00AF58D3">
        <w:rPr>
          <w:rFonts w:ascii="UnitPro" w:hAnsi="UnitPro" w:cs="UnitPro"/>
        </w:rPr>
        <w:t>21-0092</w:t>
      </w:r>
      <w:r w:rsidR="000564F1">
        <w:rPr>
          <w:rFonts w:ascii="UnitPro" w:hAnsi="UnitPro" w:cs="UnitPro"/>
        </w:rPr>
        <w:t>.3</w:t>
      </w:r>
      <w:bookmarkStart w:id="0" w:name="_GoBack"/>
      <w:bookmarkEnd w:id="0"/>
    </w:p>
    <w:p w14:paraId="6642D83A" w14:textId="591BE28F" w:rsidR="001564DE" w:rsidRPr="008A3672" w:rsidRDefault="00A332C7" w:rsidP="003E25D0">
      <w:pPr>
        <w:pStyle w:val="Nadpis1"/>
        <w:jc w:val="center"/>
        <w:rPr>
          <w:rFonts w:ascii="UnitPro" w:hAnsi="UnitPro" w:cs="UnitPro"/>
        </w:rPr>
      </w:pPr>
      <w:proofErr w:type="gramStart"/>
      <w:r>
        <w:rPr>
          <w:rFonts w:ascii="UnitPro" w:hAnsi="UnitPro" w:cs="UnitPro"/>
        </w:rPr>
        <w:t>Videospot - scénář</w:t>
      </w:r>
      <w:proofErr w:type="gramEnd"/>
    </w:p>
    <w:p w14:paraId="2659F0C9" w14:textId="77777777" w:rsidR="00B92098" w:rsidRDefault="00B92098" w:rsidP="00B92098">
      <w:pPr>
        <w:autoSpaceDE w:val="0"/>
        <w:autoSpaceDN w:val="0"/>
        <w:adjustRightInd w:val="0"/>
        <w:spacing w:after="0" w:line="240" w:lineRule="auto"/>
        <w:rPr>
          <w:rFonts w:ascii="UnitPro" w:hAnsi="UnitPro" w:cs="UnitPro"/>
        </w:rPr>
      </w:pPr>
    </w:p>
    <w:p w14:paraId="246A1244" w14:textId="1DA9BB5C" w:rsidR="006F1FF6" w:rsidRPr="008A3672" w:rsidRDefault="00B92098">
      <w:pPr>
        <w:rPr>
          <w:rFonts w:ascii="UnitPro" w:hAnsi="UnitPro" w:cs="UnitPro"/>
        </w:rPr>
      </w:pPr>
      <w:r w:rsidRPr="00B92098">
        <w:rPr>
          <w:rFonts w:ascii="UnitPro" w:hAnsi="UnitPro" w:cs="UnitPro"/>
        </w:rPr>
        <w:t>Vzhledem k tomu, že se jedná o mezinárodní architektonickou soutěž, je nutné video prezentací přiblížit potencionálním účastníkům ze zahraničí jednak lokalitu pro plánovanou budovu filharmonie, ale také kontext celého transformačního území Bubny - Zátory. Lze totiž předpokládat, že kvůli současné pandemii COVIDu nebudou schopni místo navštívit osobně. Jako nejefektivnější komunikační nástroj se pro tento účel je propagační videospot. Nejenže poslouží jako informační zdroj pro ty, kteří území Vltavské neznají, ale zároveň bude fungovat jako efektivní propagační nástroj na webových stránkách a sociálních sítích i ve vztahu k širší veřejnosti</w:t>
      </w:r>
      <w:r w:rsidR="002D338A">
        <w:rPr>
          <w:rFonts w:ascii="UnitPro" w:hAnsi="UnitPro" w:cs="UnitPro"/>
        </w:rPr>
        <w:t>.</w:t>
      </w:r>
      <w:r w:rsidR="00F4156B">
        <w:rPr>
          <w:rFonts w:ascii="UnitPro" w:hAnsi="UnitPro" w:cs="UnitPro"/>
        </w:rPr>
        <w:br/>
      </w:r>
    </w:p>
    <w:p w14:paraId="563E6732" w14:textId="73D7026B" w:rsidR="006163F7" w:rsidRPr="008A3672" w:rsidRDefault="000002B4" w:rsidP="008A3672">
      <w:pPr>
        <w:pStyle w:val="Nadpis2"/>
        <w:rPr>
          <w:rFonts w:ascii="UnitPro" w:eastAsia="Times New Roman" w:hAnsi="UnitPro" w:cs="UnitPro"/>
        </w:rPr>
      </w:pPr>
      <w:r>
        <w:rPr>
          <w:rFonts w:ascii="UnitPro" w:eastAsia="Times New Roman" w:hAnsi="UnitPro" w:cs="UnitPro"/>
        </w:rPr>
        <w:t>Symboly/ claimy</w:t>
      </w:r>
    </w:p>
    <w:p w14:paraId="54179470" w14:textId="50110DD6" w:rsidR="006163F7" w:rsidRPr="008A3672" w:rsidRDefault="006163F7" w:rsidP="006163F7">
      <w:pPr>
        <w:pStyle w:val="Odstavecseseznamem"/>
        <w:numPr>
          <w:ilvl w:val="0"/>
          <w:numId w:val="13"/>
        </w:numPr>
        <w:rPr>
          <w:rFonts w:ascii="UnitPro" w:hAnsi="UnitPro" w:cs="UnitPro"/>
          <w:sz w:val="32"/>
          <w:szCs w:val="32"/>
        </w:rPr>
      </w:pPr>
      <w:r w:rsidRPr="008A3672">
        <w:rPr>
          <w:rFonts w:ascii="UnitPro" w:hAnsi="UnitPro" w:cs="UnitPro"/>
        </w:rPr>
        <w:t>Hudba</w:t>
      </w:r>
      <w:r w:rsidR="00137581">
        <w:rPr>
          <w:rFonts w:ascii="UnitPro" w:hAnsi="UnitPro" w:cs="UnitPro"/>
        </w:rPr>
        <w:t xml:space="preserve"> </w:t>
      </w:r>
      <w:r w:rsidR="003E52DE">
        <w:rPr>
          <w:rFonts w:ascii="UnitPro" w:hAnsi="UnitPro" w:cs="UnitPro"/>
        </w:rPr>
        <w:t>–</w:t>
      </w:r>
      <w:r w:rsidR="00137581">
        <w:rPr>
          <w:rFonts w:ascii="UnitPro" w:hAnsi="UnitPro" w:cs="UnitPro"/>
        </w:rPr>
        <w:t xml:space="preserve"> interpreti</w:t>
      </w:r>
      <w:r w:rsidR="003E52DE">
        <w:rPr>
          <w:rFonts w:ascii="UnitPro" w:hAnsi="UnitPro" w:cs="UnitPro"/>
        </w:rPr>
        <w:t>,</w:t>
      </w:r>
      <w:r w:rsidR="002A272B">
        <w:rPr>
          <w:rFonts w:ascii="UnitPro" w:hAnsi="UnitPro" w:cs="UnitPro"/>
        </w:rPr>
        <w:t xml:space="preserve"> </w:t>
      </w:r>
      <w:r w:rsidR="002A2C8C">
        <w:rPr>
          <w:rFonts w:ascii="UnitPro" w:hAnsi="UnitPro" w:cs="UnitPro"/>
        </w:rPr>
        <w:t>„</w:t>
      </w:r>
      <w:r w:rsidR="002A272B">
        <w:rPr>
          <w:rFonts w:ascii="UnitPro" w:hAnsi="UnitPro" w:cs="UnitPro"/>
        </w:rPr>
        <w:t>C</w:t>
      </w:r>
      <w:r w:rsidR="003E52DE">
        <w:rPr>
          <w:rFonts w:ascii="UnitPro" w:hAnsi="UnitPro" w:cs="UnitPro"/>
        </w:rPr>
        <w:t>o Čech, to muzikant</w:t>
      </w:r>
      <w:r w:rsidR="002A2C8C">
        <w:rPr>
          <w:rFonts w:ascii="UnitPro" w:hAnsi="UnitPro" w:cs="UnitPro"/>
        </w:rPr>
        <w:t>“</w:t>
      </w:r>
    </w:p>
    <w:p w14:paraId="2EE14F87" w14:textId="305C3C7F" w:rsidR="006163F7" w:rsidRPr="008A3672" w:rsidRDefault="006163F7" w:rsidP="006163F7">
      <w:pPr>
        <w:pStyle w:val="Odstavecseseznamem"/>
        <w:numPr>
          <w:ilvl w:val="0"/>
          <w:numId w:val="13"/>
        </w:numPr>
        <w:rPr>
          <w:rFonts w:ascii="UnitPro" w:hAnsi="UnitPro" w:cs="UnitPro"/>
          <w:sz w:val="32"/>
          <w:szCs w:val="32"/>
        </w:rPr>
      </w:pPr>
      <w:r w:rsidRPr="008A3672">
        <w:rPr>
          <w:rFonts w:ascii="UnitPro" w:hAnsi="UnitPro" w:cs="UnitPro"/>
        </w:rPr>
        <w:t>Řeka</w:t>
      </w:r>
      <w:r w:rsidR="00277E2F">
        <w:rPr>
          <w:rFonts w:ascii="UnitPro" w:hAnsi="UnitPro" w:cs="UnitPro"/>
        </w:rPr>
        <w:t xml:space="preserve"> – významné </w:t>
      </w:r>
      <w:r w:rsidR="00137581">
        <w:rPr>
          <w:rFonts w:ascii="UnitPro" w:hAnsi="UnitPro" w:cs="UnitPro"/>
        </w:rPr>
        <w:t>kulturní budovy</w:t>
      </w:r>
    </w:p>
    <w:p w14:paraId="70F1A1DA" w14:textId="0D126FEC" w:rsidR="006163F7" w:rsidRPr="008A3672" w:rsidRDefault="006163F7" w:rsidP="006163F7">
      <w:pPr>
        <w:pStyle w:val="Odstavecseseznamem"/>
        <w:numPr>
          <w:ilvl w:val="0"/>
          <w:numId w:val="13"/>
        </w:numPr>
        <w:rPr>
          <w:rFonts w:ascii="UnitPro" w:hAnsi="UnitPro" w:cs="UnitPro"/>
          <w:sz w:val="32"/>
          <w:szCs w:val="32"/>
        </w:rPr>
      </w:pPr>
      <w:r w:rsidRPr="008A3672">
        <w:rPr>
          <w:rFonts w:ascii="UnitPro" w:hAnsi="UnitPro" w:cs="UnitPro"/>
        </w:rPr>
        <w:t>Transformace (Bubny-Zátory)/ nový začátek</w:t>
      </w:r>
      <w:r w:rsidR="0090094F">
        <w:rPr>
          <w:rFonts w:ascii="UnitPro" w:hAnsi="UnitPro" w:cs="UnitPro"/>
        </w:rPr>
        <w:t xml:space="preserve"> = k</w:t>
      </w:r>
      <w:r w:rsidR="003129F9">
        <w:rPr>
          <w:rFonts w:ascii="UnitPro" w:hAnsi="UnitPro" w:cs="UnitPro"/>
        </w:rPr>
        <w:t>líč k rozvoji nové čtvrti pro 30 tis. obyvatel</w:t>
      </w:r>
    </w:p>
    <w:p w14:paraId="3066FFCF" w14:textId="60E7258D" w:rsidR="006163F7" w:rsidRPr="008A3672" w:rsidRDefault="006163F7" w:rsidP="006163F7">
      <w:pPr>
        <w:pStyle w:val="Odstavecseseznamem"/>
        <w:numPr>
          <w:ilvl w:val="0"/>
          <w:numId w:val="13"/>
        </w:numPr>
        <w:rPr>
          <w:rFonts w:ascii="UnitPro" w:hAnsi="UnitPro" w:cs="UnitPro"/>
          <w:sz w:val="32"/>
          <w:szCs w:val="32"/>
        </w:rPr>
      </w:pPr>
      <w:r w:rsidRPr="008A3672">
        <w:rPr>
          <w:rFonts w:ascii="UnitPro" w:hAnsi="UnitPro" w:cs="UnitPro"/>
        </w:rPr>
        <w:t>Příležitost (pro celou ČR</w:t>
      </w:r>
      <w:r w:rsidR="00663DB3">
        <w:rPr>
          <w:rFonts w:ascii="UnitPro" w:hAnsi="UnitPro" w:cs="UnitPro"/>
        </w:rPr>
        <w:t xml:space="preserve"> a architekty</w:t>
      </w:r>
      <w:r w:rsidRPr="008A3672">
        <w:rPr>
          <w:rFonts w:ascii="UnitPro" w:hAnsi="UnitPro" w:cs="UnitPro"/>
        </w:rPr>
        <w:t>)</w:t>
      </w:r>
    </w:p>
    <w:p w14:paraId="2F63E451" w14:textId="332365EC" w:rsidR="006163F7" w:rsidRPr="008A3672" w:rsidRDefault="006163F7" w:rsidP="006163F7">
      <w:pPr>
        <w:pStyle w:val="Odstavecseseznamem"/>
        <w:numPr>
          <w:ilvl w:val="0"/>
          <w:numId w:val="13"/>
        </w:numPr>
        <w:rPr>
          <w:rFonts w:ascii="UnitPro" w:hAnsi="UnitPro" w:cs="UnitPro"/>
          <w:sz w:val="32"/>
          <w:szCs w:val="32"/>
        </w:rPr>
      </w:pPr>
      <w:r w:rsidRPr="008A3672">
        <w:rPr>
          <w:rFonts w:ascii="UnitPro" w:hAnsi="UnitPro" w:cs="UnitPro"/>
        </w:rPr>
        <w:t>Kultura</w:t>
      </w:r>
      <w:r w:rsidR="0094783C">
        <w:rPr>
          <w:rFonts w:ascii="UnitPro" w:hAnsi="UnitPro" w:cs="UnitPro"/>
        </w:rPr>
        <w:t>/ národní hrdost</w:t>
      </w:r>
      <w:r w:rsidR="00663DB3">
        <w:rPr>
          <w:rFonts w:ascii="UnitPro" w:hAnsi="UnitPro" w:cs="UnitPro"/>
        </w:rPr>
        <w:t xml:space="preserve"> – 150 let</w:t>
      </w:r>
      <w:r w:rsidR="00975C75">
        <w:rPr>
          <w:rFonts w:ascii="UnitPro" w:hAnsi="UnitPro" w:cs="UnitPro"/>
        </w:rPr>
        <w:t xml:space="preserve"> od </w:t>
      </w:r>
      <w:r w:rsidR="0090094F">
        <w:rPr>
          <w:rFonts w:ascii="UnitPro" w:hAnsi="UnitPro" w:cs="UnitPro"/>
        </w:rPr>
        <w:t xml:space="preserve">postavení </w:t>
      </w:r>
      <w:r w:rsidR="00975C75">
        <w:rPr>
          <w:rFonts w:ascii="UnitPro" w:hAnsi="UnitPro" w:cs="UnitPro"/>
        </w:rPr>
        <w:t>Národního divadla, 100 let od vzniku Československa</w:t>
      </w:r>
    </w:p>
    <w:p w14:paraId="353926A2" w14:textId="09578AF3" w:rsidR="006163F7" w:rsidRPr="008A3672" w:rsidRDefault="0090094F" w:rsidP="006163F7">
      <w:pPr>
        <w:pStyle w:val="Odstavecseseznamem"/>
        <w:numPr>
          <w:ilvl w:val="0"/>
          <w:numId w:val="13"/>
        </w:numPr>
        <w:rPr>
          <w:rFonts w:ascii="UnitPro" w:hAnsi="UnitPro" w:cs="UnitPro"/>
          <w:sz w:val="32"/>
          <w:szCs w:val="32"/>
        </w:rPr>
      </w:pPr>
      <w:r>
        <w:rPr>
          <w:rFonts w:ascii="UnitPro" w:hAnsi="UnitPro" w:cs="UnitPro"/>
        </w:rPr>
        <w:t>Moderní</w:t>
      </w:r>
      <w:r w:rsidR="006163F7" w:rsidRPr="008A3672">
        <w:rPr>
          <w:rFonts w:ascii="UnitPro" w:hAnsi="UnitPro" w:cs="UnitPro"/>
        </w:rPr>
        <w:t xml:space="preserve"> architektura</w:t>
      </w:r>
      <w:r w:rsidR="00D421C5">
        <w:rPr>
          <w:rFonts w:ascii="UnitPro" w:hAnsi="UnitPro" w:cs="UnitPro"/>
        </w:rPr>
        <w:t xml:space="preserve"> </w:t>
      </w:r>
      <w:r w:rsidR="009A2004">
        <w:rPr>
          <w:rFonts w:ascii="UnitPro" w:hAnsi="UnitPro" w:cs="UnitPro"/>
        </w:rPr>
        <w:t xml:space="preserve"> – Praze chybí vrstva moderní architektury</w:t>
      </w:r>
    </w:p>
    <w:p w14:paraId="73681D68" w14:textId="34B6B7FA" w:rsidR="00663DB3" w:rsidRPr="00663DB3" w:rsidRDefault="0090094F" w:rsidP="00663DB3">
      <w:pPr>
        <w:pStyle w:val="Odstavecseseznamem"/>
        <w:numPr>
          <w:ilvl w:val="0"/>
          <w:numId w:val="13"/>
        </w:numPr>
        <w:rPr>
          <w:rFonts w:ascii="UnitPro" w:hAnsi="UnitPro" w:cs="UnitPro"/>
          <w:sz w:val="32"/>
          <w:szCs w:val="32"/>
        </w:rPr>
      </w:pPr>
      <w:r>
        <w:rPr>
          <w:rFonts w:ascii="UnitPro" w:hAnsi="UnitPro" w:cs="UnitPro"/>
        </w:rPr>
        <w:t xml:space="preserve">Centrum města = </w:t>
      </w:r>
      <w:r w:rsidR="002F6BD3">
        <w:rPr>
          <w:rFonts w:ascii="UnitPro" w:hAnsi="UnitPro" w:cs="UnitPro"/>
        </w:rPr>
        <w:t xml:space="preserve">1 km od </w:t>
      </w:r>
      <w:r>
        <w:rPr>
          <w:rFonts w:ascii="UnitPro" w:hAnsi="UnitPro" w:cs="UnitPro"/>
        </w:rPr>
        <w:t>srdce Prahy</w:t>
      </w:r>
    </w:p>
    <w:p w14:paraId="7F98E7AF" w14:textId="2481B2D3" w:rsidR="006163F7" w:rsidRDefault="006163F7" w:rsidP="006163F7">
      <w:pPr>
        <w:rPr>
          <w:rFonts w:ascii="UnitPro" w:eastAsia="Times New Roman" w:hAnsi="UnitPro" w:cs="UnitPro"/>
        </w:rPr>
      </w:pPr>
      <w:r w:rsidRPr="008A3672">
        <w:rPr>
          <w:rFonts w:ascii="UnitPro" w:eastAsia="Times New Roman" w:hAnsi="UnitPro" w:cs="UnitPro"/>
        </w:rPr>
        <w:t> </w:t>
      </w:r>
    </w:p>
    <w:p w14:paraId="0CF24148" w14:textId="188A95E7" w:rsidR="00483D13" w:rsidRDefault="00904875" w:rsidP="00483D13">
      <w:pPr>
        <w:rPr>
          <w:rFonts w:ascii="UnitPro" w:eastAsia="Times New Roman" w:hAnsi="UnitPro" w:cs="UnitPro"/>
          <w:color w:val="2E74B5" w:themeColor="accent1" w:themeShade="BF"/>
          <w:sz w:val="26"/>
          <w:szCs w:val="26"/>
        </w:rPr>
      </w:pPr>
      <w:r>
        <w:rPr>
          <w:rFonts w:ascii="UnitPro" w:eastAsia="Times New Roman" w:hAnsi="UnitPro" w:cs="UnitPro"/>
          <w:color w:val="2E74B5" w:themeColor="accent1" w:themeShade="BF"/>
          <w:sz w:val="26"/>
          <w:szCs w:val="26"/>
        </w:rPr>
        <w:t>Hrubý s</w:t>
      </w:r>
      <w:r w:rsidR="00483D13" w:rsidRPr="00483D13">
        <w:rPr>
          <w:rFonts w:ascii="UnitPro" w:eastAsia="Times New Roman" w:hAnsi="UnitPro" w:cs="UnitPro"/>
          <w:color w:val="2E74B5" w:themeColor="accent1" w:themeShade="BF"/>
          <w:sz w:val="26"/>
          <w:szCs w:val="26"/>
        </w:rPr>
        <w:t>cénář</w:t>
      </w:r>
      <w:r w:rsidR="00B5791B">
        <w:rPr>
          <w:rFonts w:ascii="UnitPro" w:eastAsia="Times New Roman" w:hAnsi="UnitPro" w:cs="UnitPro"/>
          <w:color w:val="2E74B5" w:themeColor="accent1" w:themeShade="BF"/>
          <w:sz w:val="26"/>
          <w:szCs w:val="26"/>
        </w:rPr>
        <w:t xml:space="preserve"> </w:t>
      </w:r>
      <w:r w:rsidR="007206F2">
        <w:rPr>
          <w:rFonts w:ascii="UnitPro" w:eastAsia="Times New Roman" w:hAnsi="UnitPro" w:cs="UnitPro"/>
          <w:color w:val="2E74B5" w:themeColor="accent1" w:themeShade="BF"/>
          <w:sz w:val="26"/>
          <w:szCs w:val="26"/>
        </w:rPr>
        <w:t>(</w:t>
      </w:r>
      <w:r w:rsidR="00C41794">
        <w:rPr>
          <w:rFonts w:ascii="UnitPro" w:eastAsia="Times New Roman" w:hAnsi="UnitPro" w:cs="UnitPro"/>
          <w:color w:val="2E74B5" w:themeColor="accent1" w:themeShade="BF"/>
          <w:sz w:val="26"/>
          <w:szCs w:val="26"/>
        </w:rPr>
        <w:t xml:space="preserve">délka </w:t>
      </w:r>
      <w:r w:rsidR="00B5791B">
        <w:rPr>
          <w:rFonts w:ascii="UnitPro" w:eastAsia="Times New Roman" w:hAnsi="UnitPro" w:cs="UnitPro"/>
          <w:color w:val="2E74B5" w:themeColor="accent1" w:themeShade="BF"/>
          <w:sz w:val="26"/>
          <w:szCs w:val="26"/>
        </w:rPr>
        <w:t>cca 2 min)</w:t>
      </w:r>
    </w:p>
    <w:p w14:paraId="046A0B80" w14:textId="6E7A9F9D" w:rsidR="00682534" w:rsidRDefault="001A56BE" w:rsidP="00682534">
      <w:pPr>
        <w:pStyle w:val="Odstavecseseznamem"/>
        <w:numPr>
          <w:ilvl w:val="0"/>
          <w:numId w:val="16"/>
        </w:numPr>
        <w:rPr>
          <w:rFonts w:ascii="UnitPro" w:hAnsi="UnitPro" w:cs="UnitPro"/>
        </w:rPr>
      </w:pPr>
      <w:r w:rsidRPr="001A56BE">
        <w:rPr>
          <w:rFonts w:ascii="UnitPro" w:hAnsi="UnitPro" w:cs="UnitPro"/>
        </w:rPr>
        <w:t xml:space="preserve">Průlet dronu </w:t>
      </w:r>
      <w:r w:rsidR="00A11E6D">
        <w:rPr>
          <w:rFonts w:ascii="UnitPro" w:hAnsi="UnitPro" w:cs="UnitPro"/>
        </w:rPr>
        <w:t>nad Vltavou</w:t>
      </w:r>
      <w:r w:rsidR="00414C37">
        <w:rPr>
          <w:rFonts w:ascii="UnitPro" w:hAnsi="UnitPro" w:cs="UnitPro"/>
        </w:rPr>
        <w:t xml:space="preserve"> nad hlavními veřejnými budovami až na Vltavskou</w:t>
      </w:r>
    </w:p>
    <w:p w14:paraId="5933B587" w14:textId="2ADB27AD" w:rsidR="00A11E6D" w:rsidRDefault="00A11E6D" w:rsidP="00682534">
      <w:pPr>
        <w:pStyle w:val="Odstavecseseznamem"/>
        <w:numPr>
          <w:ilvl w:val="0"/>
          <w:numId w:val="16"/>
        </w:numPr>
        <w:rPr>
          <w:rFonts w:ascii="UnitPro" w:hAnsi="UnitPro" w:cs="UnitPro"/>
        </w:rPr>
      </w:pPr>
      <w:r>
        <w:rPr>
          <w:rFonts w:ascii="UnitPro" w:hAnsi="UnitPro" w:cs="UnitPro"/>
        </w:rPr>
        <w:t>Hlavní milníky – Národní divadlo,</w:t>
      </w:r>
      <w:r w:rsidR="00414C37">
        <w:rPr>
          <w:rFonts w:ascii="UnitPro" w:hAnsi="UnitPro" w:cs="UnitPro"/>
        </w:rPr>
        <w:t xml:space="preserve"> </w:t>
      </w:r>
      <w:r w:rsidR="0042168F">
        <w:rPr>
          <w:rFonts w:ascii="UnitPro" w:hAnsi="UnitPro" w:cs="UnitPro"/>
        </w:rPr>
        <w:t>Rudofinum</w:t>
      </w:r>
      <w:r w:rsidR="00611473">
        <w:rPr>
          <w:rFonts w:ascii="UnitPro" w:hAnsi="UnitPro" w:cs="UnitPro"/>
        </w:rPr>
        <w:t xml:space="preserve"> + další významné veřejné budovy (vždy s popiskem o jakou budovu se jedná)</w:t>
      </w:r>
    </w:p>
    <w:p w14:paraId="3F6AFD36" w14:textId="0D76A3C0" w:rsidR="009E4D74" w:rsidRDefault="009E4D74" w:rsidP="00682534">
      <w:pPr>
        <w:pStyle w:val="Odstavecseseznamem"/>
        <w:numPr>
          <w:ilvl w:val="0"/>
          <w:numId w:val="16"/>
        </w:numPr>
        <w:rPr>
          <w:rFonts w:ascii="UnitPro" w:hAnsi="UnitPro" w:cs="UnitPro"/>
        </w:rPr>
      </w:pPr>
      <w:r>
        <w:rPr>
          <w:rFonts w:ascii="UnitPro" w:hAnsi="UnitPro" w:cs="UnitPro"/>
        </w:rPr>
        <w:t>Jasně vyznačit brownfield Bubny-Zátory a místo, kde má stát budova filharmonie</w:t>
      </w:r>
    </w:p>
    <w:p w14:paraId="1B74C25C" w14:textId="1ABE6B73" w:rsidR="009E4D74" w:rsidRDefault="00CA6A31" w:rsidP="00682534">
      <w:pPr>
        <w:pStyle w:val="Odstavecseseznamem"/>
        <w:numPr>
          <w:ilvl w:val="0"/>
          <w:numId w:val="16"/>
        </w:numPr>
        <w:rPr>
          <w:rFonts w:ascii="UnitPro" w:hAnsi="UnitPro" w:cs="UnitPro"/>
        </w:rPr>
      </w:pPr>
      <w:r>
        <w:rPr>
          <w:rFonts w:ascii="UnitPro" w:hAnsi="UnitPro" w:cs="UnitPro"/>
        </w:rPr>
        <w:t xml:space="preserve">Průlet </w:t>
      </w:r>
      <w:r w:rsidR="00611473">
        <w:rPr>
          <w:rFonts w:ascii="UnitPro" w:hAnsi="UnitPro" w:cs="UnitPro"/>
        </w:rPr>
        <w:t xml:space="preserve">pokračuje </w:t>
      </w:r>
      <w:r>
        <w:rPr>
          <w:rFonts w:ascii="UnitPro" w:hAnsi="UnitPro" w:cs="UnitPro"/>
        </w:rPr>
        <w:t>na</w:t>
      </w:r>
      <w:r w:rsidR="00611473">
        <w:rPr>
          <w:rFonts w:ascii="UnitPro" w:hAnsi="UnitPro" w:cs="UnitPro"/>
        </w:rPr>
        <w:t>d</w:t>
      </w:r>
      <w:r>
        <w:rPr>
          <w:rFonts w:ascii="UnitPro" w:hAnsi="UnitPro" w:cs="UnitPro"/>
        </w:rPr>
        <w:t xml:space="preserve"> územím Bubnů</w:t>
      </w:r>
      <w:r w:rsidR="00F4571C">
        <w:rPr>
          <w:rFonts w:ascii="UnitPro" w:hAnsi="UnitPro" w:cs="UnitPro"/>
        </w:rPr>
        <w:t xml:space="preserve"> a postupně popisky ukazuje, co kde v budoucí čtvrti bude (od Vltavské po západní straně až na sever a potom zpět po východní straně území zpět k Vltavské)</w:t>
      </w:r>
      <w:r>
        <w:rPr>
          <w:rFonts w:ascii="UnitPro" w:hAnsi="UnitPro" w:cs="UnitPro"/>
        </w:rPr>
        <w:t xml:space="preserve"> + </w:t>
      </w:r>
      <w:r w:rsidR="003A5FF6">
        <w:rPr>
          <w:rFonts w:ascii="UnitPro" w:hAnsi="UnitPro" w:cs="UnitPro"/>
        </w:rPr>
        <w:t xml:space="preserve">doprovázené </w:t>
      </w:r>
      <w:r w:rsidR="00F4571C">
        <w:rPr>
          <w:rFonts w:ascii="UnitPro" w:hAnsi="UnitPro" w:cs="UnitPro"/>
        </w:rPr>
        <w:t>komentář</w:t>
      </w:r>
      <w:r w:rsidR="003A5FF6">
        <w:rPr>
          <w:rFonts w:ascii="UnitPro" w:hAnsi="UnitPro" w:cs="UnitPro"/>
        </w:rPr>
        <w:t>em</w:t>
      </w:r>
      <w:r w:rsidR="00F4571C">
        <w:rPr>
          <w:rFonts w:ascii="UnitPro" w:hAnsi="UnitPro" w:cs="UnitPro"/>
        </w:rPr>
        <w:t>/ voiceover</w:t>
      </w:r>
      <w:r w:rsidR="003A5FF6">
        <w:rPr>
          <w:rFonts w:ascii="UnitPro" w:hAnsi="UnitPro" w:cs="UnitPro"/>
        </w:rPr>
        <w:t>em</w:t>
      </w:r>
      <w:r>
        <w:rPr>
          <w:rFonts w:ascii="UnitPro" w:hAnsi="UnitPro" w:cs="UnitPro"/>
        </w:rPr>
        <w:t xml:space="preserve"> jednotlivých </w:t>
      </w:r>
      <w:r w:rsidR="003A1159">
        <w:rPr>
          <w:rFonts w:ascii="UnitPro" w:hAnsi="UnitPro" w:cs="UnitPro"/>
        </w:rPr>
        <w:t>ml</w:t>
      </w:r>
      <w:r w:rsidR="00DA5641">
        <w:rPr>
          <w:rFonts w:ascii="UnitPro" w:hAnsi="UnitPro" w:cs="UnitPro"/>
        </w:rPr>
        <w:t>u</w:t>
      </w:r>
      <w:r w:rsidR="003A1159">
        <w:rPr>
          <w:rFonts w:ascii="UnitPro" w:hAnsi="UnitPro" w:cs="UnitPro"/>
        </w:rPr>
        <w:t>v</w:t>
      </w:r>
      <w:r w:rsidR="00DA5641">
        <w:rPr>
          <w:rFonts w:ascii="UnitPro" w:hAnsi="UnitPro" w:cs="UnitPro"/>
        </w:rPr>
        <w:t>čích</w:t>
      </w:r>
    </w:p>
    <w:p w14:paraId="7C33C1E8" w14:textId="11F56E49" w:rsidR="00B5791B" w:rsidRPr="00B96465" w:rsidRDefault="00611473" w:rsidP="00B96465">
      <w:pPr>
        <w:pStyle w:val="Odstavecseseznamem"/>
        <w:numPr>
          <w:ilvl w:val="0"/>
          <w:numId w:val="16"/>
        </w:numPr>
        <w:rPr>
          <w:rFonts w:ascii="UnitPro" w:hAnsi="UnitPro" w:cs="UnitPro"/>
        </w:rPr>
      </w:pPr>
      <w:r>
        <w:rPr>
          <w:rFonts w:ascii="UnitPro" w:hAnsi="UnitPro" w:cs="UnitPro"/>
        </w:rPr>
        <w:t xml:space="preserve">Závěr videa: </w:t>
      </w:r>
      <w:r w:rsidR="00CC3195">
        <w:rPr>
          <w:rFonts w:ascii="UnitPro" w:hAnsi="UnitPro" w:cs="UnitPro"/>
        </w:rPr>
        <w:t>„Call to action“</w:t>
      </w:r>
      <w:r w:rsidR="000B38EA">
        <w:rPr>
          <w:rFonts w:ascii="UnitPro" w:hAnsi="UnitPro" w:cs="UnitPro"/>
        </w:rPr>
        <w:t xml:space="preserve"> = </w:t>
      </w:r>
      <w:r w:rsidR="00653A87">
        <w:rPr>
          <w:rFonts w:ascii="UnitPro" w:hAnsi="UnitPro" w:cs="UnitPro"/>
        </w:rPr>
        <w:t>přihlaste</w:t>
      </w:r>
      <w:r w:rsidR="000B38EA">
        <w:rPr>
          <w:rFonts w:ascii="UnitPro" w:hAnsi="UnitPro" w:cs="UnitPro"/>
        </w:rPr>
        <w:t xml:space="preserve"> se do architektonické soutěže</w:t>
      </w:r>
    </w:p>
    <w:p w14:paraId="09C05EC1" w14:textId="77777777" w:rsidR="00483D13" w:rsidRDefault="00483D13" w:rsidP="00483D13">
      <w:pPr>
        <w:rPr>
          <w:rStyle w:val="Hypertextovodkaz"/>
          <w:rFonts w:ascii="UnitPro" w:hAnsi="UnitPro" w:cs="UnitPro"/>
        </w:rPr>
      </w:pPr>
    </w:p>
    <w:p w14:paraId="2ADDB7A9" w14:textId="77777777" w:rsidR="00B4155B" w:rsidRDefault="00C41794" w:rsidP="00483D13">
      <w:pPr>
        <w:rPr>
          <w:rFonts w:ascii="UnitPro" w:eastAsia="Times New Roman" w:hAnsi="UnitPro" w:cs="UnitPro"/>
          <w:color w:val="2E74B5" w:themeColor="accent1" w:themeShade="BF"/>
          <w:sz w:val="26"/>
          <w:szCs w:val="26"/>
        </w:rPr>
      </w:pPr>
      <w:r>
        <w:rPr>
          <w:rFonts w:ascii="UnitPro" w:eastAsia="Times New Roman" w:hAnsi="UnitPro" w:cs="UnitPro"/>
          <w:color w:val="2E74B5" w:themeColor="accent1" w:themeShade="BF"/>
          <w:sz w:val="26"/>
          <w:szCs w:val="26"/>
        </w:rPr>
        <w:t xml:space="preserve">Hudba </w:t>
      </w:r>
    </w:p>
    <w:p w14:paraId="1DA169BD" w14:textId="77777777" w:rsidR="009A390D" w:rsidRPr="009A390D" w:rsidRDefault="00B4155B" w:rsidP="00B4155B">
      <w:pPr>
        <w:pStyle w:val="Odstavecseseznamem"/>
        <w:numPr>
          <w:ilvl w:val="0"/>
          <w:numId w:val="16"/>
        </w:numPr>
        <w:rPr>
          <w:rFonts w:ascii="UnitPro" w:eastAsia="Times New Roman" w:hAnsi="UnitPro" w:cs="UnitPro"/>
          <w:color w:val="2E74B5" w:themeColor="accent1" w:themeShade="BF"/>
          <w:sz w:val="26"/>
          <w:szCs w:val="26"/>
        </w:rPr>
      </w:pPr>
      <w:r w:rsidRPr="00B4155B">
        <w:rPr>
          <w:rFonts w:ascii="UnitPro" w:hAnsi="UnitPro" w:cs="UnitPro"/>
        </w:rPr>
        <w:t>Vltava</w:t>
      </w:r>
      <w:r>
        <w:rPr>
          <w:rFonts w:ascii="UnitPro" w:hAnsi="UnitPro" w:cs="UnitPro"/>
        </w:rPr>
        <w:t xml:space="preserve"> – Bedřich Smetana</w:t>
      </w:r>
    </w:p>
    <w:p w14:paraId="5016B01F" w14:textId="77777777" w:rsidR="009A390D" w:rsidRDefault="009A390D" w:rsidP="009A390D">
      <w:pPr>
        <w:rPr>
          <w:rFonts w:ascii="UnitPro" w:eastAsia="Times New Roman" w:hAnsi="UnitPro" w:cs="UnitPro"/>
          <w:color w:val="2E74B5" w:themeColor="accent1" w:themeShade="BF"/>
          <w:sz w:val="26"/>
          <w:szCs w:val="26"/>
        </w:rPr>
      </w:pPr>
      <w:r>
        <w:rPr>
          <w:rFonts w:ascii="UnitPro" w:eastAsia="Times New Roman" w:hAnsi="UnitPro" w:cs="UnitPro"/>
          <w:color w:val="2E74B5" w:themeColor="accent1" w:themeShade="BF"/>
          <w:sz w:val="26"/>
          <w:szCs w:val="26"/>
        </w:rPr>
        <w:t>Jazyk</w:t>
      </w:r>
    </w:p>
    <w:p w14:paraId="5F11145F" w14:textId="6F160264" w:rsidR="00C41794" w:rsidRPr="009A390D" w:rsidRDefault="009A390D" w:rsidP="009A390D">
      <w:pPr>
        <w:pStyle w:val="Odstavecseseznamem"/>
        <w:numPr>
          <w:ilvl w:val="0"/>
          <w:numId w:val="18"/>
        </w:numPr>
        <w:rPr>
          <w:rFonts w:ascii="UnitPro" w:hAnsi="UnitPro" w:cs="UnitPro"/>
        </w:rPr>
      </w:pPr>
      <w:r w:rsidRPr="009A390D">
        <w:rPr>
          <w:rFonts w:ascii="UnitPro" w:hAnsi="UnitPro" w:cs="UnitPro"/>
        </w:rPr>
        <w:t xml:space="preserve">ČJ + AJ </w:t>
      </w:r>
      <w:r w:rsidR="00C41794" w:rsidRPr="009A390D">
        <w:rPr>
          <w:rFonts w:ascii="UnitPro" w:hAnsi="UnitPro" w:cs="UnitPro"/>
        </w:rPr>
        <w:br/>
      </w:r>
    </w:p>
    <w:p w14:paraId="44BF17A3" w14:textId="20C749D2" w:rsidR="00483D13" w:rsidRPr="00483D13" w:rsidRDefault="003A1159" w:rsidP="00483D13">
      <w:pPr>
        <w:rPr>
          <w:rFonts w:ascii="UnitPro" w:eastAsia="Times New Roman" w:hAnsi="UnitPro" w:cs="UnitPro"/>
          <w:color w:val="2E74B5" w:themeColor="accent1" w:themeShade="BF"/>
          <w:sz w:val="26"/>
          <w:szCs w:val="26"/>
        </w:rPr>
      </w:pPr>
      <w:r>
        <w:rPr>
          <w:rFonts w:ascii="UnitPro" w:eastAsia="Times New Roman" w:hAnsi="UnitPro" w:cs="UnitPro"/>
          <w:color w:val="2E74B5" w:themeColor="accent1" w:themeShade="BF"/>
          <w:sz w:val="26"/>
          <w:szCs w:val="26"/>
        </w:rPr>
        <w:t>Mluvčí</w:t>
      </w:r>
    </w:p>
    <w:p w14:paraId="71FA8FB2" w14:textId="77777777" w:rsidR="00483D13" w:rsidRDefault="00483D13" w:rsidP="00483D13">
      <w:pPr>
        <w:pStyle w:val="Odstavecseseznamem"/>
        <w:numPr>
          <w:ilvl w:val="0"/>
          <w:numId w:val="15"/>
        </w:numPr>
        <w:rPr>
          <w:rFonts w:ascii="UnitPro" w:hAnsi="UnitPro" w:cs="UnitPro"/>
        </w:rPr>
      </w:pPr>
      <w:r>
        <w:rPr>
          <w:rFonts w:ascii="UnitPro" w:hAnsi="UnitPro" w:cs="UnitPro"/>
        </w:rPr>
        <w:t>Zdeněk Hřib, pražský primátor</w:t>
      </w:r>
    </w:p>
    <w:p w14:paraId="34678472" w14:textId="77777777" w:rsidR="00483D13" w:rsidRDefault="00483D13" w:rsidP="00483D13">
      <w:pPr>
        <w:pStyle w:val="Odstavecseseznamem"/>
        <w:numPr>
          <w:ilvl w:val="0"/>
          <w:numId w:val="15"/>
        </w:numPr>
        <w:rPr>
          <w:rFonts w:ascii="UnitPro" w:hAnsi="UnitPro" w:cs="UnitPro"/>
        </w:rPr>
      </w:pPr>
      <w:r>
        <w:rPr>
          <w:rFonts w:ascii="UnitPro" w:hAnsi="UnitPro" w:cs="UnitPro"/>
        </w:rPr>
        <w:lastRenderedPageBreak/>
        <w:t>Petr Hlaváček, 1. náměstek primátora v oblasti územního rozvoje</w:t>
      </w:r>
    </w:p>
    <w:p w14:paraId="1EB6026D" w14:textId="3169083E" w:rsidR="00483D13" w:rsidRPr="00483D13" w:rsidRDefault="00483D13" w:rsidP="006163F7">
      <w:pPr>
        <w:pStyle w:val="Odstavecseseznamem"/>
        <w:numPr>
          <w:ilvl w:val="0"/>
          <w:numId w:val="15"/>
        </w:numPr>
        <w:rPr>
          <w:rFonts w:ascii="UnitPro" w:hAnsi="UnitPro" w:cs="UnitPro"/>
        </w:rPr>
      </w:pPr>
      <w:r>
        <w:rPr>
          <w:rFonts w:ascii="UnitPro" w:hAnsi="UnitPro" w:cs="UnitPro"/>
        </w:rPr>
        <w:t>Dagmar Pecková, operní pěvkyně</w:t>
      </w:r>
    </w:p>
    <w:p w14:paraId="3E959E9A" w14:textId="77777777" w:rsidR="00483D13" w:rsidRPr="008A3672" w:rsidRDefault="00483D13" w:rsidP="006163F7">
      <w:pPr>
        <w:rPr>
          <w:rFonts w:ascii="UnitPro" w:eastAsia="Times New Roman" w:hAnsi="UnitPro" w:cs="UnitPro"/>
        </w:rPr>
      </w:pPr>
    </w:p>
    <w:p w14:paraId="6A749FA5" w14:textId="77777777" w:rsidR="00A332C7" w:rsidRDefault="008A3672" w:rsidP="00A332C7">
      <w:pPr>
        <w:pStyle w:val="Nadpis2"/>
        <w:rPr>
          <w:rFonts w:ascii="UnitPro" w:eastAsia="Times New Roman" w:hAnsi="UnitPro" w:cs="UnitPro"/>
        </w:rPr>
      </w:pPr>
      <w:r w:rsidRPr="008A3672">
        <w:rPr>
          <w:rFonts w:ascii="UnitPro" w:eastAsia="Times New Roman" w:hAnsi="UnitPro" w:cs="UnitPro"/>
        </w:rPr>
        <w:t>Reference</w:t>
      </w:r>
    </w:p>
    <w:p w14:paraId="5635E579" w14:textId="780F3879" w:rsidR="00A332C7" w:rsidRDefault="00A332C7" w:rsidP="00A332C7">
      <w:r w:rsidRPr="00A332C7">
        <w:rPr>
          <w:rFonts w:ascii="UnitPro" w:hAnsi="UnitPro" w:cs="UnitPro"/>
        </w:rPr>
        <w:t>Vilnius National Concert Hall:</w:t>
      </w:r>
      <w:r>
        <w:t xml:space="preserve"> </w:t>
      </w:r>
      <w:hyperlink r:id="rId5" w:history="1">
        <w:r w:rsidRPr="00B06534">
          <w:rPr>
            <w:rStyle w:val="Hypertextovodkaz"/>
            <w:rFonts w:ascii="UnitPro" w:eastAsia="Times New Roman" w:hAnsi="UnitPro" w:cs="UnitPro"/>
          </w:rPr>
          <w:t>https://www.youtube.com/watch?v=8GB22FJEw2c</w:t>
        </w:r>
      </w:hyperlink>
      <w:r>
        <w:t xml:space="preserve"> </w:t>
      </w:r>
    </w:p>
    <w:p w14:paraId="0EEA989D" w14:textId="57E3D4C8" w:rsidR="007C3E21" w:rsidRDefault="009059EC" w:rsidP="00B92098">
      <w:pPr>
        <w:rPr>
          <w:rStyle w:val="Hypertextovodkaz"/>
          <w:rFonts w:ascii="UnitPro" w:hAnsi="UnitPro" w:cs="UnitPro"/>
        </w:rPr>
      </w:pPr>
      <w:r w:rsidRPr="009059EC">
        <w:rPr>
          <w:rFonts w:ascii="UnitPro" w:hAnsi="UnitPro" w:cs="UnitPro"/>
        </w:rPr>
        <w:t xml:space="preserve">Konzerthaus München: </w:t>
      </w:r>
      <w:hyperlink r:id="rId6" w:history="1">
        <w:r w:rsidRPr="009059EC">
          <w:rPr>
            <w:rStyle w:val="Hypertextovodkaz"/>
            <w:rFonts w:ascii="UnitPro" w:hAnsi="UnitPro" w:cs="UnitPro"/>
          </w:rPr>
          <w:t>https://www.youtube.com/watch?v=oXtbot-kFLo&amp;t=103s</w:t>
        </w:r>
      </w:hyperlink>
    </w:p>
    <w:p w14:paraId="5A66D718" w14:textId="365696C6" w:rsidR="00127031" w:rsidRPr="00143192" w:rsidRDefault="00127031" w:rsidP="00B92098">
      <w:pPr>
        <w:rPr>
          <w:rFonts w:ascii="UnitPro" w:hAnsi="UnitPro" w:cs="UnitPro"/>
        </w:rPr>
      </w:pPr>
    </w:p>
    <w:p w14:paraId="32E308B7" w14:textId="743A9882" w:rsidR="00127031" w:rsidRPr="00127031" w:rsidRDefault="00127031" w:rsidP="00B92098">
      <w:pPr>
        <w:rPr>
          <w:rFonts w:ascii="UnitPro" w:hAnsi="UnitPro" w:cs="UnitPro"/>
        </w:rPr>
      </w:pPr>
      <w:r w:rsidRPr="00143192">
        <w:rPr>
          <w:rFonts w:ascii="UnitPro" w:hAnsi="UnitPro" w:cs="UnitPro"/>
        </w:rPr>
        <w:t>Konkrétnější představa o scénáři videopostu bude konzultována již napřímo s dodavatelem.</w:t>
      </w:r>
    </w:p>
    <w:sectPr w:rsidR="00127031" w:rsidRPr="0012703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F393" w16cex:dateUtc="2021-03-12T13:05:00Z"/>
  <w16cex:commentExtensible w16cex:durableId="23F5F3DB" w16cex:dateUtc="2021-03-12T13:06:00Z"/>
  <w16cex:commentExtensible w16cex:durableId="23F5F410" w16cex:dateUtc="2021-03-12T13:07:00Z"/>
  <w16cex:commentExtensible w16cex:durableId="23F5F45F" w16cex:dateUtc="2021-03-12T13: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UnitPro">
    <w:panose1 w:val="020B0504030101020102"/>
    <w:charset w:val="00"/>
    <w:family w:val="swiss"/>
    <w:notTrueType/>
    <w:pitch w:val="variable"/>
    <w:sig w:usb0="A00002FF" w:usb1="5000207B" w:usb2="00000008" w:usb3="00000000" w:csb0="0000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87F"/>
    <w:multiLevelType w:val="hybridMultilevel"/>
    <w:tmpl w:val="DADA8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60AA5"/>
    <w:multiLevelType w:val="hybridMultilevel"/>
    <w:tmpl w:val="2E4EAD52"/>
    <w:lvl w:ilvl="0" w:tplc="7422C9A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05364"/>
    <w:multiLevelType w:val="hybridMultilevel"/>
    <w:tmpl w:val="F3CA3D44"/>
    <w:lvl w:ilvl="0" w:tplc="A2005EA2">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6F798F"/>
    <w:multiLevelType w:val="hybridMultilevel"/>
    <w:tmpl w:val="63F8B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DB7EE0"/>
    <w:multiLevelType w:val="hybridMultilevel"/>
    <w:tmpl w:val="367A6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D50E89"/>
    <w:multiLevelType w:val="hybridMultilevel"/>
    <w:tmpl w:val="7F84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458F4"/>
    <w:multiLevelType w:val="hybridMultilevel"/>
    <w:tmpl w:val="A14A462E"/>
    <w:lvl w:ilvl="0" w:tplc="A2005EA2">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3D38FA"/>
    <w:multiLevelType w:val="hybridMultilevel"/>
    <w:tmpl w:val="FC2A9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2E19AD"/>
    <w:multiLevelType w:val="hybridMultilevel"/>
    <w:tmpl w:val="95D48CB2"/>
    <w:lvl w:ilvl="0" w:tplc="6FFA63E6">
      <w:start w:val="1"/>
      <w:numFmt w:val="decimal"/>
      <w:lvlText w:val="%1."/>
      <w:lvlJc w:val="left"/>
      <w:pPr>
        <w:ind w:left="720" w:hanging="360"/>
      </w:pPr>
      <w:rPr>
        <w:rFonts w:ascii="UnitPro" w:hAnsi="UnitPro" w:cs="UnitPr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1E244F"/>
    <w:multiLevelType w:val="hybridMultilevel"/>
    <w:tmpl w:val="22E4F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6B62DA"/>
    <w:multiLevelType w:val="hybridMultilevel"/>
    <w:tmpl w:val="1990E8BA"/>
    <w:lvl w:ilvl="0" w:tplc="6FFA63E6">
      <w:start w:val="1"/>
      <w:numFmt w:val="decimal"/>
      <w:lvlText w:val="%1."/>
      <w:lvlJc w:val="left"/>
      <w:pPr>
        <w:ind w:left="720" w:hanging="360"/>
      </w:pPr>
      <w:rPr>
        <w:rFonts w:ascii="UnitPro" w:hAnsi="UnitPro" w:cs="UnitPr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B31252"/>
    <w:multiLevelType w:val="hybridMultilevel"/>
    <w:tmpl w:val="FA2AA9D4"/>
    <w:lvl w:ilvl="0" w:tplc="6FFA63E6">
      <w:start w:val="1"/>
      <w:numFmt w:val="decimal"/>
      <w:lvlText w:val="%1."/>
      <w:lvlJc w:val="left"/>
      <w:pPr>
        <w:ind w:left="720" w:hanging="360"/>
      </w:pPr>
      <w:rPr>
        <w:rFonts w:ascii="UnitPro" w:hAnsi="UnitPro" w:cs="UnitPr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C5876"/>
    <w:multiLevelType w:val="hybridMultilevel"/>
    <w:tmpl w:val="FC88A53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15:restartNumberingAfterBreak="0">
    <w:nsid w:val="50174087"/>
    <w:multiLevelType w:val="hybridMultilevel"/>
    <w:tmpl w:val="73D67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720184"/>
    <w:multiLevelType w:val="hybridMultilevel"/>
    <w:tmpl w:val="A89A9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433476"/>
    <w:multiLevelType w:val="hybridMultilevel"/>
    <w:tmpl w:val="78DC1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6805F0"/>
    <w:multiLevelType w:val="hybridMultilevel"/>
    <w:tmpl w:val="6056505E"/>
    <w:lvl w:ilvl="0" w:tplc="3F60C9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4624BC"/>
    <w:multiLevelType w:val="hybridMultilevel"/>
    <w:tmpl w:val="2D126DE6"/>
    <w:lvl w:ilvl="0" w:tplc="8CC0397A">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0"/>
  </w:num>
  <w:num w:numId="5">
    <w:abstractNumId w:val="9"/>
  </w:num>
  <w:num w:numId="6">
    <w:abstractNumId w:val="16"/>
  </w:num>
  <w:num w:numId="7">
    <w:abstractNumId w:val="10"/>
  </w:num>
  <w:num w:numId="8">
    <w:abstractNumId w:val="8"/>
  </w:num>
  <w:num w:numId="9">
    <w:abstractNumId w:val="15"/>
  </w:num>
  <w:num w:numId="10">
    <w:abstractNumId w:val="7"/>
  </w:num>
  <w:num w:numId="11">
    <w:abstractNumId w:val="14"/>
  </w:num>
  <w:num w:numId="12">
    <w:abstractNumId w:val="1"/>
  </w:num>
  <w:num w:numId="13">
    <w:abstractNumId w:val="6"/>
  </w:num>
  <w:num w:numId="14">
    <w:abstractNumId w:val="2"/>
  </w:num>
  <w:num w:numId="15">
    <w:abstractNumId w:val="5"/>
  </w:num>
  <w:num w:numId="16">
    <w:abstractNumId w:val="1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CDD"/>
    <w:rsid w:val="000002B4"/>
    <w:rsid w:val="00014337"/>
    <w:rsid w:val="000564F1"/>
    <w:rsid w:val="00057BE1"/>
    <w:rsid w:val="00092533"/>
    <w:rsid w:val="00095034"/>
    <w:rsid w:val="000B38EA"/>
    <w:rsid w:val="000C0B18"/>
    <w:rsid w:val="00100CD7"/>
    <w:rsid w:val="001128F7"/>
    <w:rsid w:val="00124770"/>
    <w:rsid w:val="00127031"/>
    <w:rsid w:val="001355CA"/>
    <w:rsid w:val="00137581"/>
    <w:rsid w:val="00143192"/>
    <w:rsid w:val="00143DFE"/>
    <w:rsid w:val="001564DE"/>
    <w:rsid w:val="00161EAA"/>
    <w:rsid w:val="001A56BE"/>
    <w:rsid w:val="001E41D2"/>
    <w:rsid w:val="00211B13"/>
    <w:rsid w:val="00217935"/>
    <w:rsid w:val="00217CC3"/>
    <w:rsid w:val="0023777F"/>
    <w:rsid w:val="00277E2F"/>
    <w:rsid w:val="00297B4B"/>
    <w:rsid w:val="002A272B"/>
    <w:rsid w:val="002A2C8C"/>
    <w:rsid w:val="002B01BB"/>
    <w:rsid w:val="002D338A"/>
    <w:rsid w:val="002F5FF5"/>
    <w:rsid w:val="002F6BD3"/>
    <w:rsid w:val="003129F9"/>
    <w:rsid w:val="00331DCD"/>
    <w:rsid w:val="00351FAC"/>
    <w:rsid w:val="003652BD"/>
    <w:rsid w:val="003A1159"/>
    <w:rsid w:val="003A4A7A"/>
    <w:rsid w:val="003A5FF6"/>
    <w:rsid w:val="003B32CC"/>
    <w:rsid w:val="003E25D0"/>
    <w:rsid w:val="003E52DE"/>
    <w:rsid w:val="00414C37"/>
    <w:rsid w:val="0042168F"/>
    <w:rsid w:val="00431A0C"/>
    <w:rsid w:val="00470545"/>
    <w:rsid w:val="00472D32"/>
    <w:rsid w:val="00483D13"/>
    <w:rsid w:val="004A07BB"/>
    <w:rsid w:val="004B1C28"/>
    <w:rsid w:val="004C0BE5"/>
    <w:rsid w:val="004E0BC0"/>
    <w:rsid w:val="00515D98"/>
    <w:rsid w:val="005853B8"/>
    <w:rsid w:val="005B278B"/>
    <w:rsid w:val="0060435C"/>
    <w:rsid w:val="006049F7"/>
    <w:rsid w:val="006101B6"/>
    <w:rsid w:val="00611473"/>
    <w:rsid w:val="00612774"/>
    <w:rsid w:val="006163F7"/>
    <w:rsid w:val="00616D7C"/>
    <w:rsid w:val="00635FA3"/>
    <w:rsid w:val="00653A87"/>
    <w:rsid w:val="00663DB3"/>
    <w:rsid w:val="0068029F"/>
    <w:rsid w:val="00682534"/>
    <w:rsid w:val="006C4A1A"/>
    <w:rsid w:val="006F1FF6"/>
    <w:rsid w:val="007206F2"/>
    <w:rsid w:val="007211AD"/>
    <w:rsid w:val="00735B62"/>
    <w:rsid w:val="007A347B"/>
    <w:rsid w:val="007B315D"/>
    <w:rsid w:val="007C3E21"/>
    <w:rsid w:val="007D6DC8"/>
    <w:rsid w:val="00892C82"/>
    <w:rsid w:val="008A3672"/>
    <w:rsid w:val="008D44E5"/>
    <w:rsid w:val="0090094F"/>
    <w:rsid w:val="00904875"/>
    <w:rsid w:val="009059EC"/>
    <w:rsid w:val="00935257"/>
    <w:rsid w:val="00941FA9"/>
    <w:rsid w:val="00944B3A"/>
    <w:rsid w:val="009468CB"/>
    <w:rsid w:val="0094783C"/>
    <w:rsid w:val="00975C75"/>
    <w:rsid w:val="009907A1"/>
    <w:rsid w:val="009A2004"/>
    <w:rsid w:val="009A390D"/>
    <w:rsid w:val="009D4F1C"/>
    <w:rsid w:val="009E4D74"/>
    <w:rsid w:val="00A11E6D"/>
    <w:rsid w:val="00A332C7"/>
    <w:rsid w:val="00A822EE"/>
    <w:rsid w:val="00AF58D3"/>
    <w:rsid w:val="00B25DAF"/>
    <w:rsid w:val="00B4155B"/>
    <w:rsid w:val="00B434C5"/>
    <w:rsid w:val="00B462D8"/>
    <w:rsid w:val="00B542B0"/>
    <w:rsid w:val="00B5791B"/>
    <w:rsid w:val="00B77D59"/>
    <w:rsid w:val="00B92098"/>
    <w:rsid w:val="00B96465"/>
    <w:rsid w:val="00BA6AE3"/>
    <w:rsid w:val="00BC3505"/>
    <w:rsid w:val="00BE15EE"/>
    <w:rsid w:val="00C01D5F"/>
    <w:rsid w:val="00C175AC"/>
    <w:rsid w:val="00C2741F"/>
    <w:rsid w:val="00C41794"/>
    <w:rsid w:val="00C84793"/>
    <w:rsid w:val="00CA6A31"/>
    <w:rsid w:val="00CC3195"/>
    <w:rsid w:val="00CD1D12"/>
    <w:rsid w:val="00CF0808"/>
    <w:rsid w:val="00D14454"/>
    <w:rsid w:val="00D14CDD"/>
    <w:rsid w:val="00D213BB"/>
    <w:rsid w:val="00D421C5"/>
    <w:rsid w:val="00D84956"/>
    <w:rsid w:val="00D87C8A"/>
    <w:rsid w:val="00D94C9B"/>
    <w:rsid w:val="00DA5641"/>
    <w:rsid w:val="00DB329F"/>
    <w:rsid w:val="00DC015F"/>
    <w:rsid w:val="00DD633E"/>
    <w:rsid w:val="00E017B7"/>
    <w:rsid w:val="00E35E2E"/>
    <w:rsid w:val="00E60B55"/>
    <w:rsid w:val="00E673BD"/>
    <w:rsid w:val="00F06905"/>
    <w:rsid w:val="00F4156B"/>
    <w:rsid w:val="00F4571C"/>
    <w:rsid w:val="00F6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E12C"/>
  <w15:chartTrackingRefBased/>
  <w15:docId w15:val="{E9E1432C-6674-4A3F-9045-5EA7CB46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37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377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377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1FA9"/>
    <w:pPr>
      <w:ind w:left="720"/>
      <w:contextualSpacing/>
    </w:pPr>
  </w:style>
  <w:style w:type="character" w:customStyle="1" w:styleId="Nadpis1Char">
    <w:name w:val="Nadpis 1 Char"/>
    <w:basedOn w:val="Standardnpsmoodstavce"/>
    <w:link w:val="Nadpis1"/>
    <w:uiPriority w:val="9"/>
    <w:rsid w:val="0023777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3777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3777F"/>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E017B7"/>
    <w:rPr>
      <w:color w:val="0563C1" w:themeColor="hyperlink"/>
      <w:u w:val="single"/>
    </w:rPr>
  </w:style>
  <w:style w:type="character" w:styleId="Sledovanodkaz">
    <w:name w:val="FollowedHyperlink"/>
    <w:basedOn w:val="Standardnpsmoodstavce"/>
    <w:uiPriority w:val="99"/>
    <w:semiHidden/>
    <w:unhideWhenUsed/>
    <w:rsid w:val="00331DCD"/>
    <w:rPr>
      <w:color w:val="954F72" w:themeColor="followedHyperlink"/>
      <w:u w:val="single"/>
    </w:rPr>
  </w:style>
  <w:style w:type="character" w:styleId="Odkaznakoment">
    <w:name w:val="annotation reference"/>
    <w:basedOn w:val="Standardnpsmoodstavce"/>
    <w:uiPriority w:val="99"/>
    <w:semiHidden/>
    <w:unhideWhenUsed/>
    <w:rsid w:val="00944B3A"/>
    <w:rPr>
      <w:sz w:val="16"/>
      <w:szCs w:val="16"/>
    </w:rPr>
  </w:style>
  <w:style w:type="paragraph" w:styleId="Textkomente">
    <w:name w:val="annotation text"/>
    <w:basedOn w:val="Normln"/>
    <w:link w:val="TextkomenteChar"/>
    <w:uiPriority w:val="99"/>
    <w:unhideWhenUsed/>
    <w:rsid w:val="00944B3A"/>
    <w:pPr>
      <w:spacing w:line="240" w:lineRule="auto"/>
    </w:pPr>
    <w:rPr>
      <w:sz w:val="20"/>
      <w:szCs w:val="20"/>
    </w:rPr>
  </w:style>
  <w:style w:type="character" w:customStyle="1" w:styleId="TextkomenteChar">
    <w:name w:val="Text komentáře Char"/>
    <w:basedOn w:val="Standardnpsmoodstavce"/>
    <w:link w:val="Textkomente"/>
    <w:uiPriority w:val="99"/>
    <w:rsid w:val="00944B3A"/>
    <w:rPr>
      <w:sz w:val="20"/>
      <w:szCs w:val="20"/>
    </w:rPr>
  </w:style>
  <w:style w:type="paragraph" w:styleId="Pedmtkomente">
    <w:name w:val="annotation subject"/>
    <w:basedOn w:val="Textkomente"/>
    <w:next w:val="Textkomente"/>
    <w:link w:val="PedmtkomenteChar"/>
    <w:uiPriority w:val="99"/>
    <w:semiHidden/>
    <w:unhideWhenUsed/>
    <w:rsid w:val="00944B3A"/>
    <w:rPr>
      <w:b/>
      <w:bCs/>
    </w:rPr>
  </w:style>
  <w:style w:type="character" w:customStyle="1" w:styleId="PedmtkomenteChar">
    <w:name w:val="Předmět komentáře Char"/>
    <w:basedOn w:val="TextkomenteChar"/>
    <w:link w:val="Pedmtkomente"/>
    <w:uiPriority w:val="99"/>
    <w:semiHidden/>
    <w:rsid w:val="00944B3A"/>
    <w:rPr>
      <w:b/>
      <w:bCs/>
      <w:sz w:val="20"/>
      <w:szCs w:val="20"/>
    </w:rPr>
  </w:style>
  <w:style w:type="paragraph" w:styleId="Textbubliny">
    <w:name w:val="Balloon Text"/>
    <w:basedOn w:val="Normln"/>
    <w:link w:val="TextbublinyChar"/>
    <w:uiPriority w:val="99"/>
    <w:semiHidden/>
    <w:unhideWhenUsed/>
    <w:rsid w:val="00944B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B3A"/>
    <w:rPr>
      <w:rFonts w:ascii="Segoe UI" w:hAnsi="Segoe UI" w:cs="Segoe UI"/>
      <w:sz w:val="18"/>
      <w:szCs w:val="18"/>
    </w:rPr>
  </w:style>
  <w:style w:type="character" w:customStyle="1" w:styleId="apple-converted-space">
    <w:name w:val="apple-converted-space"/>
    <w:basedOn w:val="Standardnpsmoodstavce"/>
    <w:rsid w:val="0061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29253">
      <w:bodyDiv w:val="1"/>
      <w:marLeft w:val="0"/>
      <w:marRight w:val="0"/>
      <w:marTop w:val="0"/>
      <w:marBottom w:val="0"/>
      <w:divBdr>
        <w:top w:val="none" w:sz="0" w:space="0" w:color="auto"/>
        <w:left w:val="none" w:sz="0" w:space="0" w:color="auto"/>
        <w:bottom w:val="none" w:sz="0" w:space="0" w:color="auto"/>
        <w:right w:val="none" w:sz="0" w:space="0" w:color="auto"/>
      </w:divBdr>
    </w:div>
    <w:div w:id="12735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Xtbot-kFLo&amp;t=103s" TargetMode="External"/><Relationship Id="rId5" Type="http://schemas.openxmlformats.org/officeDocument/2006/relationships/hyperlink" Target="https://www.youtube.com/watch?v=8GB22FJEw2c" TargetMode="Externa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1968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Zelingerová Kateřina Bc. (SVV/KOM)</dc:creator>
  <cp:keywords/>
  <dc:description/>
  <cp:lastModifiedBy>Fedina Martin Mgr. (SPR/VEZ)</cp:lastModifiedBy>
  <cp:revision>3</cp:revision>
  <cp:lastPrinted>2021-06-10T14:50:00Z</cp:lastPrinted>
  <dcterms:created xsi:type="dcterms:W3CDTF">2021-04-28T07:10:00Z</dcterms:created>
  <dcterms:modified xsi:type="dcterms:W3CDTF">2021-06-10T14:50:00Z</dcterms:modified>
</cp:coreProperties>
</file>