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6E25" w:rsidRDefault="00784679">
      <w:pPr>
        <w:spacing w:line="317" w:lineRule="exact"/>
        <w:ind w:left="504" w:hanging="504"/>
        <w:jc w:val="both"/>
        <w:rPr>
          <w:rFonts w:ascii="Verdana" w:hAnsi="Verdana"/>
          <w:color w:val="000000"/>
          <w:spacing w:val="5"/>
          <w:sz w:val="20"/>
          <w:lang w:val="cs-CZ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9022080</wp:posOffset>
                </wp:positionV>
                <wp:extent cx="5753100" cy="126365"/>
                <wp:effectExtent l="3810" t="0" r="0" b="1905"/>
                <wp:wrapSquare wrapText="bothSides"/>
                <wp:docPr id="1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0" cy="126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6E25" w:rsidRDefault="00784679">
                            <w:pPr>
                              <w:spacing w:line="196" w:lineRule="auto"/>
                              <w:jc w:val="center"/>
                              <w:rPr>
                                <w:rFonts w:ascii="Verdana" w:hAnsi="Verdana"/>
                                <w:color w:val="000000"/>
                                <w:sz w:val="20"/>
                                <w:lang w:val="cs-CZ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z w:val="20"/>
                                <w:lang w:val="cs-CZ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0" o:spid="_x0000_s1026" type="#_x0000_t202" style="position:absolute;left:0;text-align:left;margin-left:0;margin-top:710.4pt;width:453pt;height:9.95pt;z-index:-25165875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" filled="f" stroked="f">
                <v:textbox inset="0,0,0,0">
                  <w:txbxContent>
                    <w:p w:rsidR="00576E25" w:rsidRDefault="00784679">
                      <w:pPr>
                        <w:spacing w:line="196" w:lineRule="auto"/>
                        <w:jc w:val="center"/>
                        <w:rPr>
                          <w:rFonts w:ascii="Verdana" w:hAnsi="Verdana"/>
                          <w:color w:val="000000"/>
                          <w:sz w:val="20"/>
                          <w:lang w:val="cs-CZ"/>
                        </w:rPr>
                      </w:pPr>
                      <w:r>
                        <w:rPr>
                          <w:rFonts w:ascii="Verdana" w:hAnsi="Verdana"/>
                          <w:color w:val="000000"/>
                          <w:sz w:val="20"/>
                          <w:lang w:val="cs-CZ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Verdana" w:hAnsi="Verdana"/>
          <w:color w:val="000000"/>
          <w:spacing w:val="5"/>
          <w:sz w:val="20"/>
          <w:lang w:val="cs-CZ"/>
        </w:rPr>
        <w:t xml:space="preserve">2.4. Součástí předmětu díla je provedení všech nezbytných zkoušek, revizí apod., </w:t>
      </w:r>
      <w:r>
        <w:rPr>
          <w:rFonts w:ascii="Verdana" w:hAnsi="Verdana"/>
          <w:color w:val="000000"/>
          <w:spacing w:val="6"/>
          <w:sz w:val="20"/>
          <w:lang w:val="cs-CZ"/>
        </w:rPr>
        <w:t xml:space="preserve">předložení všech dokladů nezbytných pro posouzení kvality materiálů a prací </w:t>
      </w:r>
      <w:r>
        <w:rPr>
          <w:rFonts w:ascii="Verdana" w:hAnsi="Verdana"/>
          <w:color w:val="000000"/>
          <w:spacing w:val="-5"/>
          <w:sz w:val="20"/>
          <w:lang w:val="cs-CZ"/>
        </w:rPr>
        <w:t xml:space="preserve">(certifikáty, materiálové listy, prohlášení o shodě, protokoly o provedení předepsaných </w:t>
      </w:r>
      <w:r>
        <w:rPr>
          <w:rFonts w:ascii="Verdana" w:hAnsi="Verdana"/>
          <w:color w:val="000000"/>
          <w:spacing w:val="-6"/>
          <w:sz w:val="20"/>
          <w:lang w:val="cs-CZ"/>
        </w:rPr>
        <w:t>měření, zkoušek apod.).</w:t>
      </w:r>
    </w:p>
    <w:p w:rsidR="00576E25" w:rsidRDefault="00784679">
      <w:pPr>
        <w:spacing w:before="108" w:line="283" w:lineRule="exact"/>
        <w:rPr>
          <w:rFonts w:ascii="Verdana" w:hAnsi="Verdana"/>
          <w:color w:val="000000"/>
          <w:spacing w:val="-3"/>
          <w:sz w:val="20"/>
          <w:lang w:val="cs-CZ"/>
        </w:rPr>
      </w:pPr>
      <w:r>
        <w:rPr>
          <w:rFonts w:ascii="Verdana" w:hAnsi="Verdana"/>
          <w:color w:val="000000"/>
          <w:spacing w:val="-3"/>
          <w:sz w:val="20"/>
          <w:lang w:val="cs-CZ"/>
        </w:rPr>
        <w:t>2.5. Místem pinění je sídlo objednatele DMIS</w:t>
      </w:r>
      <w:r>
        <w:rPr>
          <w:rFonts w:ascii="Arial" w:hAnsi="Arial"/>
          <w:color w:val="000000"/>
          <w:spacing w:val="-3"/>
          <w:sz w:val="20"/>
          <w:vertAlign w:val="superscript"/>
          <w:lang w:val="cs-CZ"/>
        </w:rPr>
        <w:t>-</w:t>
      </w:r>
      <w:r>
        <w:rPr>
          <w:rFonts w:ascii="Verdana" w:hAnsi="Verdana"/>
          <w:color w:val="000000"/>
          <w:spacing w:val="-3"/>
          <w:sz w:val="20"/>
          <w:lang w:val="cs-CZ"/>
        </w:rPr>
        <w:t>.1Vocelova 1469/5, Hradec Králové.</w:t>
      </w:r>
    </w:p>
    <w:p w:rsidR="00576E25" w:rsidRDefault="00784679">
      <w:pPr>
        <w:spacing w:before="144" w:line="295" w:lineRule="exact"/>
        <w:ind w:left="504" w:hanging="504"/>
        <w:jc w:val="both"/>
        <w:rPr>
          <w:rFonts w:ascii="Verdana" w:hAnsi="Verdana"/>
          <w:color w:val="000000"/>
          <w:spacing w:val="-1"/>
          <w:sz w:val="20"/>
          <w:lang w:val="cs-CZ"/>
        </w:rPr>
      </w:pPr>
      <w:r>
        <w:rPr>
          <w:rFonts w:ascii="Verdana" w:hAnsi="Verdana"/>
          <w:color w:val="000000"/>
          <w:spacing w:val="-1"/>
          <w:sz w:val="20"/>
          <w:lang w:val="cs-CZ"/>
        </w:rPr>
        <w:t xml:space="preserve">2.6. Objednatel je oprávněn požadovat případné další práce nad rámec předmětu této </w:t>
      </w:r>
      <w:r>
        <w:rPr>
          <w:rFonts w:ascii="Verdana" w:hAnsi="Verdana"/>
          <w:color w:val="000000"/>
          <w:spacing w:val="-5"/>
          <w:sz w:val="20"/>
          <w:lang w:val="cs-CZ"/>
        </w:rPr>
        <w:t xml:space="preserve">smlouvy. Toto bude oběma stranami projednáno a případně řešeno dodatkem k této </w:t>
      </w:r>
      <w:r>
        <w:rPr>
          <w:rFonts w:ascii="Verdana" w:hAnsi="Verdana"/>
          <w:color w:val="000000"/>
          <w:sz w:val="20"/>
          <w:lang w:val="cs-CZ"/>
        </w:rPr>
        <w:t>smlouvě.</w:t>
      </w:r>
    </w:p>
    <w:p w:rsidR="00576E25" w:rsidRDefault="00784679">
      <w:pPr>
        <w:tabs>
          <w:tab w:val="right" w:pos="5317"/>
        </w:tabs>
        <w:spacing w:before="180" w:line="304" w:lineRule="exact"/>
        <w:ind w:left="3744"/>
        <w:rPr>
          <w:rFonts w:ascii="Arial" w:hAnsi="Arial"/>
          <w:b/>
          <w:color w:val="000000"/>
          <w:spacing w:val="-50"/>
          <w:w w:val="105"/>
          <w:sz w:val="24"/>
          <w:lang w:val="cs-CZ"/>
        </w:rPr>
      </w:pPr>
      <w:r>
        <w:rPr>
          <w:rFonts w:ascii="Arial" w:hAnsi="Arial"/>
          <w:b/>
          <w:color w:val="000000"/>
          <w:spacing w:val="-50"/>
          <w:w w:val="105"/>
          <w:sz w:val="24"/>
          <w:lang w:val="cs-CZ"/>
        </w:rPr>
        <w:t>3.</w:t>
      </w:r>
      <w:r>
        <w:rPr>
          <w:rFonts w:ascii="Arial" w:hAnsi="Arial"/>
          <w:b/>
          <w:color w:val="000000"/>
          <w:spacing w:val="-50"/>
          <w:w w:val="105"/>
          <w:sz w:val="24"/>
          <w:lang w:val="cs-CZ"/>
        </w:rPr>
        <w:tab/>
      </w:r>
      <w:r>
        <w:rPr>
          <w:rFonts w:ascii="Tahoma" w:hAnsi="Tahoma"/>
          <w:b/>
          <w:color w:val="000000"/>
          <w:w w:val="95"/>
          <w:sz w:val="20"/>
          <w:lang w:val="cs-CZ"/>
        </w:rPr>
        <w:t>Čas pinění</w:t>
      </w:r>
    </w:p>
    <w:p w:rsidR="00576E25" w:rsidRDefault="00784679">
      <w:pPr>
        <w:spacing w:before="72" w:line="297" w:lineRule="exact"/>
        <w:ind w:left="504" w:hanging="504"/>
        <w:rPr>
          <w:rFonts w:ascii="Verdana" w:hAnsi="Verdana"/>
          <w:color w:val="000000"/>
          <w:spacing w:val="-1"/>
          <w:sz w:val="20"/>
          <w:lang w:val="cs-CZ"/>
        </w:rPr>
      </w:pPr>
      <w:r>
        <w:rPr>
          <w:rFonts w:ascii="Verdana" w:hAnsi="Verdana"/>
          <w:color w:val="000000"/>
          <w:spacing w:val="-1"/>
          <w:sz w:val="20"/>
          <w:lang w:val="cs-CZ"/>
        </w:rPr>
        <w:t xml:space="preserve">3.1. Zhotovitel se zavazuje, že zhotoví dílo — realizuje stavbu uvedenou v čl. 2.1. této </w:t>
      </w:r>
      <w:r>
        <w:rPr>
          <w:rFonts w:ascii="Verdana" w:hAnsi="Verdana"/>
          <w:color w:val="000000"/>
          <w:spacing w:val="-4"/>
          <w:sz w:val="20"/>
          <w:lang w:val="cs-CZ"/>
        </w:rPr>
        <w:t>smlouvy za podmínek ve smlouvě uvedených v těchto termínech:</w:t>
      </w:r>
    </w:p>
    <w:p w:rsidR="00576E25" w:rsidRDefault="00784679">
      <w:pPr>
        <w:tabs>
          <w:tab w:val="right" w:pos="5580"/>
        </w:tabs>
        <w:spacing w:before="72" w:line="250" w:lineRule="exact"/>
        <w:ind w:left="2664"/>
        <w:rPr>
          <w:rFonts w:ascii="Verdana" w:hAnsi="Verdana"/>
          <w:color w:val="000000"/>
          <w:spacing w:val="-12"/>
          <w:sz w:val="20"/>
          <w:lang w:val="cs-CZ"/>
        </w:rPr>
      </w:pPr>
      <w:r>
        <w:rPr>
          <w:rFonts w:ascii="Verdana" w:hAnsi="Verdana"/>
          <w:color w:val="000000"/>
          <w:spacing w:val="-12"/>
          <w:sz w:val="20"/>
          <w:lang w:val="cs-CZ"/>
        </w:rPr>
        <w:t>Zahájení:</w:t>
      </w:r>
      <w:r>
        <w:rPr>
          <w:rFonts w:ascii="Verdana" w:hAnsi="Verdana"/>
          <w:color w:val="000000"/>
          <w:spacing w:val="-12"/>
          <w:sz w:val="20"/>
          <w:lang w:val="cs-CZ"/>
        </w:rPr>
        <w:tab/>
      </w:r>
      <w:r>
        <w:rPr>
          <w:rFonts w:ascii="Verdana" w:hAnsi="Verdana"/>
          <w:color w:val="000000"/>
          <w:spacing w:val="-6"/>
          <w:sz w:val="20"/>
          <w:lang w:val="cs-CZ"/>
        </w:rPr>
        <w:t>27. týden 2021</w:t>
      </w:r>
    </w:p>
    <w:p w:rsidR="00576E25" w:rsidRDefault="00784679">
      <w:pPr>
        <w:tabs>
          <w:tab w:val="right" w:pos="5576"/>
        </w:tabs>
        <w:spacing w:before="72" w:line="250" w:lineRule="exact"/>
        <w:ind w:left="2664"/>
        <w:rPr>
          <w:rFonts w:ascii="Verdana" w:hAnsi="Verdana"/>
          <w:color w:val="000000"/>
          <w:spacing w:val="-8"/>
          <w:sz w:val="20"/>
          <w:lang w:val="cs-CZ"/>
        </w:rPr>
      </w:pPr>
      <w:r>
        <w:rPr>
          <w:rFonts w:ascii="Verdana" w:hAnsi="Verdana"/>
          <w:color w:val="000000"/>
          <w:spacing w:val="-8"/>
          <w:sz w:val="20"/>
          <w:lang w:val="cs-CZ"/>
        </w:rPr>
        <w:t>Dokončení:</w:t>
      </w:r>
      <w:r>
        <w:rPr>
          <w:rFonts w:ascii="Verdana" w:hAnsi="Verdana"/>
          <w:color w:val="000000"/>
          <w:spacing w:val="-8"/>
          <w:sz w:val="20"/>
          <w:lang w:val="cs-CZ"/>
        </w:rPr>
        <w:tab/>
      </w:r>
      <w:r>
        <w:rPr>
          <w:rFonts w:ascii="Verdana" w:hAnsi="Verdana"/>
          <w:color w:val="000000"/>
          <w:spacing w:val="-6"/>
          <w:sz w:val="20"/>
          <w:lang w:val="cs-CZ"/>
        </w:rPr>
        <w:t>33. týden 2021</w:t>
      </w:r>
    </w:p>
    <w:p w:rsidR="00576E25" w:rsidRDefault="00784679">
      <w:pPr>
        <w:spacing w:before="180" w:line="296" w:lineRule="exact"/>
        <w:ind w:left="576" w:hanging="576"/>
        <w:rPr>
          <w:rFonts w:ascii="Verdana" w:hAnsi="Verdana"/>
          <w:color w:val="000000"/>
          <w:spacing w:val="-5"/>
          <w:sz w:val="20"/>
          <w:lang w:val="cs-CZ"/>
        </w:rPr>
      </w:pPr>
      <w:r>
        <w:rPr>
          <w:rFonts w:ascii="Verdana" w:hAnsi="Verdana"/>
          <w:color w:val="000000"/>
          <w:spacing w:val="-5"/>
          <w:sz w:val="20"/>
          <w:lang w:val="cs-CZ"/>
        </w:rPr>
        <w:t xml:space="preserve">3.2. Spiněním zhotovení díla se rozumí jeho úpiné dokončení, podepsání zápisu o předání a </w:t>
      </w:r>
      <w:r>
        <w:rPr>
          <w:rFonts w:ascii="Verdana" w:hAnsi="Verdana"/>
          <w:color w:val="000000"/>
          <w:spacing w:val="-4"/>
          <w:sz w:val="20"/>
          <w:lang w:val="cs-CZ"/>
        </w:rPr>
        <w:t>převzetí stavby, předání dalších příslušných dokladů a vyklizení staveniště.</w:t>
      </w:r>
    </w:p>
    <w:p w:rsidR="00576E25" w:rsidRDefault="00784679">
      <w:pPr>
        <w:spacing w:before="108" w:line="312" w:lineRule="exact"/>
        <w:ind w:left="576" w:hanging="576"/>
        <w:rPr>
          <w:rFonts w:ascii="Verdana" w:hAnsi="Verdana"/>
          <w:color w:val="000000"/>
          <w:spacing w:val="8"/>
          <w:sz w:val="20"/>
          <w:lang w:val="cs-CZ"/>
        </w:rPr>
      </w:pPr>
      <w:r>
        <w:rPr>
          <w:rFonts w:ascii="Verdana" w:hAnsi="Verdana"/>
          <w:color w:val="000000"/>
          <w:spacing w:val="8"/>
          <w:sz w:val="20"/>
          <w:lang w:val="cs-CZ"/>
        </w:rPr>
        <w:t>3.3. Úpiné vyklizení staveniště proved</w:t>
      </w:r>
      <w:r>
        <w:rPr>
          <w:rFonts w:ascii="Verdana" w:hAnsi="Verdana"/>
          <w:color w:val="000000"/>
          <w:spacing w:val="8"/>
          <w:sz w:val="20"/>
          <w:lang w:val="cs-CZ"/>
        </w:rPr>
        <w:t xml:space="preserve">e zhotovitel nejpozději do 3 pracovních dnů </w:t>
      </w:r>
      <w:r>
        <w:rPr>
          <w:rFonts w:ascii="Verdana" w:hAnsi="Verdana"/>
          <w:color w:val="000000"/>
          <w:spacing w:val="-4"/>
          <w:sz w:val="20"/>
          <w:lang w:val="cs-CZ"/>
        </w:rPr>
        <w:t>po úpiném dokončení, předání a převzetí stavby.</w:t>
      </w:r>
    </w:p>
    <w:p w:rsidR="00576E25" w:rsidRDefault="00784679">
      <w:pPr>
        <w:spacing w:before="180" w:line="243" w:lineRule="exact"/>
        <w:ind w:left="3960"/>
        <w:rPr>
          <w:rFonts w:ascii="Arial" w:hAnsi="Arial"/>
          <w:b/>
          <w:color w:val="000000"/>
          <w:spacing w:val="18"/>
          <w:w w:val="105"/>
          <w:sz w:val="24"/>
          <w:lang w:val="cs-CZ"/>
        </w:rPr>
      </w:pPr>
      <w:r>
        <w:rPr>
          <w:rFonts w:ascii="Arial" w:hAnsi="Arial"/>
          <w:b/>
          <w:color w:val="000000"/>
          <w:spacing w:val="18"/>
          <w:w w:val="105"/>
          <w:sz w:val="24"/>
          <w:lang w:val="cs-CZ"/>
        </w:rPr>
        <w:t xml:space="preserve">4. </w:t>
      </w:r>
      <w:r>
        <w:rPr>
          <w:rFonts w:ascii="Tahoma" w:hAnsi="Tahoma"/>
          <w:b/>
          <w:color w:val="000000"/>
          <w:spacing w:val="18"/>
          <w:w w:val="95"/>
          <w:sz w:val="20"/>
          <w:lang w:val="cs-CZ"/>
        </w:rPr>
        <w:t>Cena</w:t>
      </w:r>
    </w:p>
    <w:p w:rsidR="00576E25" w:rsidRDefault="00784679">
      <w:pPr>
        <w:spacing w:before="72" w:after="324" w:line="249" w:lineRule="auto"/>
        <w:rPr>
          <w:rFonts w:ascii="Verdana" w:hAnsi="Verdana"/>
          <w:color w:val="000000"/>
          <w:spacing w:val="-3"/>
          <w:sz w:val="20"/>
          <w:lang w:val="cs-CZ"/>
        </w:rPr>
      </w:pPr>
      <w:r>
        <w:rPr>
          <w:rFonts w:ascii="Verdana" w:hAnsi="Verdana"/>
          <w:color w:val="000000"/>
          <w:spacing w:val="-3"/>
          <w:sz w:val="20"/>
          <w:lang w:val="cs-CZ"/>
        </w:rPr>
        <w:t>4.1. Cena v českých korunách za provedení díla dle čl. 2 této smlouvy činí: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7"/>
        <w:gridCol w:w="626"/>
        <w:gridCol w:w="5417"/>
      </w:tblGrid>
      <w:tr w:rsidR="00576E25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30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576E25" w:rsidRDefault="00784679">
            <w:pPr>
              <w:ind w:left="608"/>
              <w:rPr>
                <w:rFonts w:ascii="Verdana" w:hAnsi="Verdana"/>
                <w:color w:val="000000"/>
                <w:spacing w:val="-6"/>
                <w:sz w:val="20"/>
                <w:lang w:val="cs-CZ"/>
              </w:rPr>
            </w:pPr>
            <w:r>
              <w:rPr>
                <w:rFonts w:ascii="Verdana" w:hAnsi="Verdana"/>
                <w:color w:val="000000"/>
                <w:spacing w:val="-6"/>
                <w:sz w:val="20"/>
                <w:lang w:val="cs-CZ"/>
              </w:rPr>
              <w:t>Cena celkem bez DPH:</w:t>
            </w:r>
          </w:p>
        </w:tc>
        <w:tc>
          <w:tcPr>
            <w:tcW w:w="62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576E25" w:rsidRDefault="00784679">
            <w:pPr>
              <w:ind w:right="15"/>
              <w:jc w:val="right"/>
              <w:rPr>
                <w:rFonts w:ascii="Verdana" w:hAnsi="Verdana"/>
                <w:color w:val="000000"/>
                <w:sz w:val="20"/>
                <w:lang w:val="cs-CZ"/>
              </w:rPr>
            </w:pPr>
            <w:r>
              <w:rPr>
                <w:rFonts w:ascii="Verdana" w:hAnsi="Verdana"/>
                <w:color w:val="000000"/>
                <w:sz w:val="20"/>
                <w:lang w:val="cs-CZ"/>
              </w:rPr>
              <w:t>149</w:t>
            </w:r>
          </w:p>
        </w:tc>
        <w:tc>
          <w:tcPr>
            <w:tcW w:w="54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576E25" w:rsidRDefault="00784679">
            <w:pPr>
              <w:tabs>
                <w:tab w:val="decimal" w:pos="421"/>
              </w:tabs>
              <w:rPr>
                <w:rFonts w:ascii="Verdana" w:hAnsi="Verdana"/>
                <w:color w:val="000000"/>
                <w:sz w:val="20"/>
                <w:lang w:val="cs-CZ"/>
              </w:rPr>
            </w:pPr>
            <w:r>
              <w:rPr>
                <w:rFonts w:ascii="Verdana" w:hAnsi="Verdana"/>
                <w:color w:val="000000"/>
                <w:sz w:val="20"/>
                <w:lang w:val="cs-CZ"/>
              </w:rPr>
              <w:t>756,83</w:t>
            </w:r>
          </w:p>
        </w:tc>
      </w:tr>
      <w:tr w:rsidR="00576E25">
        <w:tblPrEx>
          <w:tblCellMar>
            <w:top w:w="0" w:type="dxa"/>
            <w:bottom w:w="0" w:type="dxa"/>
          </w:tblCellMar>
        </w:tblPrEx>
        <w:trPr>
          <w:trHeight w:hRule="exact" w:val="342"/>
        </w:trPr>
        <w:tc>
          <w:tcPr>
            <w:tcW w:w="30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576E25" w:rsidRDefault="00784679">
            <w:pPr>
              <w:ind w:left="608"/>
              <w:rPr>
                <w:rFonts w:ascii="Verdana" w:hAnsi="Verdana"/>
                <w:color w:val="000000"/>
                <w:sz w:val="20"/>
                <w:lang w:val="cs-CZ"/>
              </w:rPr>
            </w:pPr>
            <w:r>
              <w:rPr>
                <w:rFonts w:ascii="Verdana" w:hAnsi="Verdana"/>
                <w:color w:val="000000"/>
                <w:sz w:val="20"/>
                <w:lang w:val="cs-CZ"/>
              </w:rPr>
              <w:t>DPH:</w:t>
            </w:r>
          </w:p>
        </w:tc>
        <w:tc>
          <w:tcPr>
            <w:tcW w:w="62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576E25" w:rsidRDefault="00784679">
            <w:pPr>
              <w:ind w:right="15"/>
              <w:jc w:val="right"/>
              <w:rPr>
                <w:rFonts w:ascii="Verdana" w:hAnsi="Verdana"/>
                <w:color w:val="000000"/>
                <w:sz w:val="20"/>
                <w:lang w:val="cs-CZ"/>
              </w:rPr>
            </w:pPr>
            <w:r>
              <w:rPr>
                <w:rFonts w:ascii="Verdana" w:hAnsi="Verdana"/>
                <w:color w:val="000000"/>
                <w:sz w:val="20"/>
                <w:lang w:val="cs-CZ"/>
              </w:rPr>
              <w:t>31</w:t>
            </w:r>
          </w:p>
        </w:tc>
        <w:tc>
          <w:tcPr>
            <w:tcW w:w="54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576E25" w:rsidRDefault="00784679">
            <w:pPr>
              <w:tabs>
                <w:tab w:val="decimal" w:pos="421"/>
              </w:tabs>
              <w:rPr>
                <w:rFonts w:ascii="Verdana" w:hAnsi="Verdana"/>
                <w:color w:val="000000"/>
                <w:sz w:val="20"/>
                <w:lang w:val="cs-CZ"/>
              </w:rPr>
            </w:pPr>
            <w:r>
              <w:rPr>
                <w:rFonts w:ascii="Verdana" w:hAnsi="Verdana"/>
                <w:color w:val="000000"/>
                <w:sz w:val="20"/>
                <w:lang w:val="cs-CZ"/>
              </w:rPr>
              <w:t>448,93</w:t>
            </w:r>
          </w:p>
        </w:tc>
      </w:tr>
      <w:tr w:rsidR="00576E25">
        <w:tblPrEx>
          <w:tblCellMar>
            <w:top w:w="0" w:type="dxa"/>
            <w:bottom w:w="0" w:type="dxa"/>
          </w:tblCellMar>
        </w:tblPrEx>
        <w:trPr>
          <w:trHeight w:hRule="exact" w:val="356"/>
        </w:trPr>
        <w:tc>
          <w:tcPr>
            <w:tcW w:w="30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576E25" w:rsidRDefault="00784679">
            <w:pPr>
              <w:ind w:left="608"/>
              <w:rPr>
                <w:rFonts w:ascii="Tahoma" w:hAnsi="Tahoma"/>
                <w:b/>
                <w:color w:val="000000"/>
                <w:w w:val="95"/>
                <w:sz w:val="20"/>
                <w:lang w:val="cs-CZ"/>
              </w:rPr>
            </w:pPr>
            <w:r>
              <w:rPr>
                <w:rFonts w:ascii="Tahoma" w:hAnsi="Tahoma"/>
                <w:b/>
                <w:color w:val="000000"/>
                <w:w w:val="95"/>
                <w:sz w:val="20"/>
                <w:lang w:val="cs-CZ"/>
              </w:rPr>
              <w:t>Cena vč. DPH:</w:t>
            </w:r>
          </w:p>
        </w:tc>
        <w:tc>
          <w:tcPr>
            <w:tcW w:w="62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576E25" w:rsidRDefault="00784679">
            <w:pPr>
              <w:ind w:right="15"/>
              <w:jc w:val="right"/>
              <w:rPr>
                <w:rFonts w:ascii="Tahoma" w:hAnsi="Tahoma"/>
                <w:b/>
                <w:color w:val="000000"/>
                <w:w w:val="95"/>
                <w:sz w:val="20"/>
                <w:lang w:val="cs-CZ"/>
              </w:rPr>
            </w:pPr>
            <w:r>
              <w:rPr>
                <w:rFonts w:ascii="Tahoma" w:hAnsi="Tahoma"/>
                <w:b/>
                <w:color w:val="000000"/>
                <w:w w:val="95"/>
                <w:sz w:val="20"/>
                <w:lang w:val="cs-CZ"/>
              </w:rPr>
              <w:t>181</w:t>
            </w:r>
          </w:p>
        </w:tc>
        <w:tc>
          <w:tcPr>
            <w:tcW w:w="54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576E25" w:rsidRDefault="00784679">
            <w:pPr>
              <w:tabs>
                <w:tab w:val="decimal" w:pos="421"/>
              </w:tabs>
              <w:rPr>
                <w:rFonts w:ascii="Tahoma" w:hAnsi="Tahoma"/>
                <w:b/>
                <w:color w:val="000000"/>
                <w:w w:val="95"/>
                <w:sz w:val="20"/>
                <w:lang w:val="cs-CZ"/>
              </w:rPr>
            </w:pPr>
            <w:r>
              <w:rPr>
                <w:rFonts w:ascii="Tahoma" w:hAnsi="Tahoma"/>
                <w:b/>
                <w:color w:val="000000"/>
                <w:w w:val="95"/>
                <w:sz w:val="20"/>
                <w:lang w:val="cs-CZ"/>
              </w:rPr>
              <w:t>205,76</w:t>
            </w:r>
          </w:p>
        </w:tc>
      </w:tr>
    </w:tbl>
    <w:p w:rsidR="00576E25" w:rsidRDefault="00576E25">
      <w:pPr>
        <w:spacing w:after="376" w:line="20" w:lineRule="exact"/>
      </w:pPr>
    </w:p>
    <w:p w:rsidR="00576E25" w:rsidRDefault="00784679">
      <w:pPr>
        <w:rPr>
          <w:rFonts w:ascii="Verdana" w:hAnsi="Verdana"/>
          <w:color w:val="000000"/>
          <w:spacing w:val="-2"/>
          <w:sz w:val="20"/>
          <w:lang w:val="cs-CZ"/>
        </w:rPr>
      </w:pPr>
      <w:r>
        <w:rPr>
          <w:rFonts w:ascii="Verdana" w:hAnsi="Verdana"/>
          <w:color w:val="000000"/>
          <w:spacing w:val="-2"/>
          <w:sz w:val="20"/>
          <w:lang w:val="cs-CZ"/>
        </w:rPr>
        <w:t>4.2. Dohodnutá cena je konečná, nejvýše přípustná po celou dobu realizace.</w:t>
      </w:r>
    </w:p>
    <w:p w:rsidR="00576E25" w:rsidRDefault="00784679">
      <w:pPr>
        <w:spacing w:before="180" w:line="360" w:lineRule="auto"/>
        <w:ind w:left="576" w:hanging="576"/>
        <w:jc w:val="both"/>
        <w:rPr>
          <w:rFonts w:ascii="Verdana" w:hAnsi="Verdana"/>
          <w:color w:val="000000"/>
          <w:sz w:val="20"/>
          <w:lang w:val="cs-CZ"/>
        </w:rPr>
      </w:pPr>
      <w:r>
        <w:rPr>
          <w:rFonts w:ascii="Verdana" w:hAnsi="Verdana"/>
          <w:color w:val="000000"/>
          <w:sz w:val="20"/>
          <w:lang w:val="cs-CZ"/>
        </w:rPr>
        <w:t xml:space="preserve">4.3. V uvedené ceně jsou obsaženy veškeré náklady zhotovitele související s řádnou a </w:t>
      </w:r>
      <w:r>
        <w:rPr>
          <w:rFonts w:ascii="Verdana" w:hAnsi="Verdana"/>
          <w:color w:val="000000"/>
          <w:spacing w:val="-2"/>
          <w:sz w:val="20"/>
          <w:lang w:val="cs-CZ"/>
        </w:rPr>
        <w:t xml:space="preserve">včasnou realizací díla v podmínkách konkrétního staveniště, souvisejícího provozu, </w:t>
      </w:r>
      <w:r>
        <w:rPr>
          <w:rFonts w:ascii="Verdana" w:hAnsi="Verdana"/>
          <w:color w:val="000000"/>
          <w:spacing w:val="-4"/>
          <w:sz w:val="20"/>
          <w:lang w:val="cs-CZ"/>
        </w:rPr>
        <w:t xml:space="preserve">dalších okolních vlivů a povinných činností dle obecně závazných předpisů. Tato stavba </w:t>
      </w:r>
      <w:r>
        <w:rPr>
          <w:rFonts w:ascii="Verdana" w:hAnsi="Verdana"/>
          <w:color w:val="000000"/>
          <w:spacing w:val="-6"/>
          <w:sz w:val="20"/>
          <w:lang w:val="cs-CZ"/>
        </w:rPr>
        <w:t xml:space="preserve">je realizována dle výběrového řízení na zakázku malého rozsahu ze dne 16. 5. 2019 a je </w:t>
      </w:r>
      <w:r>
        <w:rPr>
          <w:rFonts w:ascii="Verdana" w:hAnsi="Verdana"/>
          <w:color w:val="000000"/>
          <w:sz w:val="20"/>
          <w:lang w:val="cs-CZ"/>
        </w:rPr>
        <w:t xml:space="preserve">při ní zohledněn meziroční nárůst inflace. Smluvní cena je dohodnutá na základě </w:t>
      </w:r>
      <w:r>
        <w:rPr>
          <w:rFonts w:ascii="Verdana" w:hAnsi="Verdana"/>
          <w:color w:val="000000"/>
          <w:spacing w:val="-5"/>
          <w:sz w:val="20"/>
          <w:lang w:val="cs-CZ"/>
        </w:rPr>
        <w:t>ce</w:t>
      </w:r>
      <w:r>
        <w:rPr>
          <w:rFonts w:ascii="Verdana" w:hAnsi="Verdana"/>
          <w:color w:val="000000"/>
          <w:spacing w:val="-5"/>
          <w:sz w:val="20"/>
          <w:lang w:val="cs-CZ"/>
        </w:rPr>
        <w:t>nové nabídky zhotovitele ze dne 30. června 2021.</w:t>
      </w:r>
    </w:p>
    <w:p w:rsidR="00576E25" w:rsidRDefault="00784679">
      <w:pPr>
        <w:spacing w:before="144" w:line="360" w:lineRule="auto"/>
        <w:ind w:left="576" w:hanging="576"/>
        <w:jc w:val="both"/>
        <w:rPr>
          <w:rFonts w:ascii="Verdana" w:hAnsi="Verdana"/>
          <w:color w:val="000000"/>
          <w:spacing w:val="-4"/>
          <w:sz w:val="20"/>
          <w:lang w:val="cs-CZ"/>
        </w:rPr>
      </w:pPr>
      <w:r>
        <w:rPr>
          <w:rFonts w:ascii="Verdana" w:hAnsi="Verdana"/>
          <w:color w:val="000000"/>
          <w:spacing w:val="-4"/>
          <w:sz w:val="20"/>
          <w:lang w:val="cs-CZ"/>
        </w:rPr>
        <w:t xml:space="preserve">4.4. Celkovou smluvní cenu za dílo dle odstavce 4.1. lze měnit pouze v případě, že bude </w:t>
      </w:r>
      <w:r>
        <w:rPr>
          <w:rFonts w:ascii="Verdana" w:hAnsi="Verdana"/>
          <w:color w:val="000000"/>
          <w:sz w:val="20"/>
          <w:lang w:val="cs-CZ"/>
        </w:rPr>
        <w:t xml:space="preserve">dohodnuto a prováděno jiné množství nebo druh měrných jednotek prací, než je </w:t>
      </w:r>
      <w:r>
        <w:rPr>
          <w:rFonts w:ascii="Verdana" w:hAnsi="Verdana"/>
          <w:color w:val="000000"/>
          <w:spacing w:val="-1"/>
          <w:sz w:val="20"/>
          <w:lang w:val="cs-CZ"/>
        </w:rPr>
        <w:t>uvedeno ve výkazu výměr smluvního rozpočtu</w:t>
      </w:r>
      <w:r>
        <w:rPr>
          <w:rFonts w:ascii="Verdana" w:hAnsi="Verdana"/>
          <w:color w:val="000000"/>
          <w:spacing w:val="-1"/>
          <w:sz w:val="20"/>
          <w:lang w:val="cs-CZ"/>
        </w:rPr>
        <w:t xml:space="preserve">. Tyto změny prací budou oceněny </w:t>
      </w:r>
      <w:r>
        <w:rPr>
          <w:rFonts w:ascii="Verdana" w:hAnsi="Verdana"/>
          <w:color w:val="000000"/>
          <w:spacing w:val="-5"/>
          <w:sz w:val="20"/>
          <w:lang w:val="cs-CZ"/>
        </w:rPr>
        <w:t xml:space="preserve">jednotkovými cenami uvedenými v nabídkovém (smluvním) rozpočtu jako přípočty a </w:t>
      </w:r>
      <w:r>
        <w:rPr>
          <w:rFonts w:ascii="Verdana" w:hAnsi="Verdana"/>
          <w:color w:val="000000"/>
          <w:spacing w:val="-4"/>
          <w:sz w:val="20"/>
          <w:lang w:val="cs-CZ"/>
        </w:rPr>
        <w:t>odpočty ceny díla.</w:t>
      </w:r>
    </w:p>
    <w:p w:rsidR="00576E25" w:rsidRDefault="00784679">
      <w:pPr>
        <w:spacing w:before="72" w:line="360" w:lineRule="auto"/>
        <w:ind w:left="576" w:right="360"/>
        <w:rPr>
          <w:rFonts w:ascii="Verdana" w:hAnsi="Verdana"/>
          <w:color w:val="000000"/>
          <w:spacing w:val="-8"/>
          <w:sz w:val="20"/>
          <w:lang w:val="cs-CZ"/>
        </w:rPr>
      </w:pPr>
      <w:r>
        <w:rPr>
          <w:rFonts w:ascii="Verdana" w:hAnsi="Verdana"/>
          <w:color w:val="000000"/>
          <w:spacing w:val="-8"/>
          <w:sz w:val="20"/>
          <w:lang w:val="cs-CZ"/>
        </w:rPr>
        <w:t xml:space="preserve">Pokud se bude jednat o práce, které nejsou uvedeny v nabídkovém rozpočtu, budou </w:t>
      </w:r>
      <w:r>
        <w:rPr>
          <w:rFonts w:ascii="Verdana" w:hAnsi="Verdana"/>
          <w:color w:val="000000"/>
          <w:spacing w:val="-3"/>
          <w:sz w:val="20"/>
          <w:lang w:val="cs-CZ"/>
        </w:rPr>
        <w:t xml:space="preserve">použity jednotkové ceny </w:t>
      </w:r>
      <w:r>
        <w:rPr>
          <w:rFonts w:ascii="Tahoma" w:hAnsi="Tahoma"/>
          <w:color w:val="000000"/>
          <w:spacing w:val="-3"/>
          <w:sz w:val="20"/>
          <w:lang w:val="cs-CZ"/>
        </w:rPr>
        <w:t xml:space="preserve">ÚRS </w:t>
      </w:r>
      <w:r>
        <w:rPr>
          <w:rFonts w:ascii="Verdana" w:hAnsi="Verdana"/>
          <w:color w:val="000000"/>
          <w:spacing w:val="-3"/>
          <w:sz w:val="20"/>
          <w:lang w:val="cs-CZ"/>
        </w:rPr>
        <w:t>Praha platné v době provádění.</w:t>
      </w:r>
    </w:p>
    <w:sectPr w:rsidR="00576E25">
      <w:pgSz w:w="11918" w:h="16854"/>
      <w:pgMar w:top="1670" w:right="1367" w:bottom="646" w:left="1431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Verdana">
    <w:charset w:val="00"/>
    <w:pitch w:val="variable"/>
    <w:family w:val="swiss"/>
    <w:panose1 w:val="02020603050405020304"/>
  </w:font>
  <w:font w:name="Arial">
    <w:charset w:val="EE"/>
    <w:pitch w:val="variable"/>
    <w:family w:val="swiss"/>
    <w:panose1 w:val="02020603050405020304"/>
  </w:font>
  <w:font w:name="Tahoma">
    <w:charset w:val="EE"/>
    <w:pitch w:val="variable"/>
    <w:family w:val="swiss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E25"/>
    <w:rsid w:val="00576E25"/>
    <w:rsid w:val="00784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E0E044-D89E-4ADF-8AC2-F963AD105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drId2" Type="http://schemas.openxmlformats.org/wordprocessingml/2006/fontTable" Target="fontTable0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DMIŠJ Hradec Králové</Company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ucetni2</dc:creator>
  <cp:lastModifiedBy>ucetni2</cp:lastModifiedBy>
  <cp:revision>2</cp:revision>
  <dcterms:created xsi:type="dcterms:W3CDTF">2021-07-13T08:05:00Z</dcterms:created>
  <dcterms:modified xsi:type="dcterms:W3CDTF">2021-07-13T08:05:00Z</dcterms:modified>
</cp:coreProperties>
</file>