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47" w:rsidRDefault="00AF2096">
      <w:pPr>
        <w:pStyle w:val="Zkladntext1"/>
        <w:shd w:val="clear" w:color="auto" w:fill="auto"/>
        <w:spacing w:before="140" w:after="8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Dodatek č. 2</w:t>
      </w:r>
      <w:r>
        <w:rPr>
          <w:b/>
          <w:bCs/>
          <w:sz w:val="24"/>
          <w:szCs w:val="24"/>
        </w:rPr>
        <w:br/>
        <w:t>ke Smlouvě o dílo a o poskytování služeb architekta č. j. NG/2153/2018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(dále jen </w:t>
      </w:r>
      <w:r>
        <w:rPr>
          <w:b/>
          <w:bCs/>
          <w:sz w:val="24"/>
          <w:szCs w:val="24"/>
        </w:rPr>
        <w:t>„Smlouva“</w:t>
      </w:r>
      <w:r>
        <w:rPr>
          <w:sz w:val="24"/>
          <w:szCs w:val="24"/>
        </w:rPr>
        <w:t>)</w:t>
      </w:r>
    </w:p>
    <w:p w:rsidR="00F13347" w:rsidRDefault="00AF2096">
      <w:pPr>
        <w:pStyle w:val="Zkladntext1"/>
        <w:shd w:val="clear" w:color="auto" w:fill="auto"/>
      </w:pPr>
      <w:r>
        <w:rPr>
          <w:b/>
          <w:bCs/>
        </w:rPr>
        <w:t>Smluvní strany:</w:t>
      </w:r>
    </w:p>
    <w:p w:rsidR="00F13347" w:rsidRDefault="00AF2096">
      <w:pPr>
        <w:pStyle w:val="Nadpis1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MCA atelier s.r.o.</w:t>
      </w:r>
      <w:bookmarkEnd w:id="0"/>
      <w:bookmarkEnd w:id="1"/>
    </w:p>
    <w:p w:rsidR="00F13347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>sídlo:</w:t>
      </w:r>
      <w:r>
        <w:tab/>
        <w:t>Dykova 51/1, 101 00 Praha 10</w:t>
      </w:r>
    </w:p>
    <w:p w:rsidR="00F13347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>IČ:</w:t>
      </w:r>
      <w:r>
        <w:tab/>
        <w:t>274 18 634</w:t>
      </w:r>
    </w:p>
    <w:p w:rsidR="00F13347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>DIČ:</w:t>
      </w:r>
      <w:r>
        <w:tab/>
        <w:t>CZ 274 18 634</w:t>
      </w:r>
    </w:p>
    <w:p w:rsidR="00F13347" w:rsidRDefault="00AF2096">
      <w:pPr>
        <w:pStyle w:val="Zkladntext1"/>
        <w:shd w:val="clear" w:color="auto" w:fill="auto"/>
        <w:spacing w:after="0"/>
      </w:pPr>
      <w:r>
        <w:t xml:space="preserve">společnost zapsána v obchodním rejstříku </w:t>
      </w:r>
      <w:r>
        <w:t>vedeném Městským soudem v Praze, oddíl C, vložka 112013 bank, spojení: KB, Praha 2</w:t>
      </w:r>
    </w:p>
    <w:p w:rsidR="00F13347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>č. účtu:</w:t>
      </w:r>
      <w:r>
        <w:tab/>
        <w:t>35-6408670267/0100</w:t>
      </w:r>
    </w:p>
    <w:p w:rsidR="00E2166A" w:rsidRDefault="00AF2096" w:rsidP="00E2166A">
      <w:pPr>
        <w:pStyle w:val="Zkladntext1"/>
        <w:shd w:val="clear" w:color="auto" w:fill="auto"/>
        <w:spacing w:after="0"/>
      </w:pPr>
      <w:r>
        <w:t xml:space="preserve">zastoupená: Doc. Ing. arch. Miroslav Cikán, jednatel </w:t>
      </w:r>
    </w:p>
    <w:p w:rsidR="00F13347" w:rsidRDefault="00AF2096">
      <w:pPr>
        <w:pStyle w:val="Zkladntext1"/>
        <w:shd w:val="clear" w:color="auto" w:fill="auto"/>
      </w:pPr>
      <w:r>
        <w:t xml:space="preserve">(dále jen jako </w:t>
      </w:r>
      <w:r>
        <w:rPr>
          <w:b/>
          <w:bCs/>
        </w:rPr>
        <w:t xml:space="preserve">„zhotovitel" </w:t>
      </w:r>
      <w:r>
        <w:t xml:space="preserve">a/nebo </w:t>
      </w:r>
      <w:r>
        <w:rPr>
          <w:b/>
          <w:bCs/>
        </w:rPr>
        <w:t>„architekt"</w:t>
      </w:r>
      <w:r>
        <w:t>)</w:t>
      </w:r>
    </w:p>
    <w:p w:rsidR="00F13347" w:rsidRDefault="00AF2096">
      <w:pPr>
        <w:pStyle w:val="Zkladntext1"/>
        <w:shd w:val="clear" w:color="auto" w:fill="auto"/>
      </w:pPr>
      <w:r>
        <w:t>a</w:t>
      </w:r>
    </w:p>
    <w:p w:rsidR="00E2166A" w:rsidRDefault="00AF2096">
      <w:pPr>
        <w:pStyle w:val="Zkladntext1"/>
        <w:shd w:val="clear" w:color="auto" w:fill="auto"/>
        <w:tabs>
          <w:tab w:val="left" w:pos="1368"/>
        </w:tabs>
        <w:spacing w:after="0"/>
        <w:rPr>
          <w:b/>
          <w:bCs/>
        </w:rPr>
      </w:pPr>
      <w:r>
        <w:rPr>
          <w:b/>
          <w:bCs/>
        </w:rPr>
        <w:t xml:space="preserve">Národní galerie v Praze </w:t>
      </w:r>
    </w:p>
    <w:p w:rsidR="00F13347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>sídlo:</w:t>
      </w:r>
      <w:r>
        <w:tab/>
        <w:t>Staroměstsk</w:t>
      </w:r>
      <w:r>
        <w:t>é náměstí 606/12, 110 00 Praha 1</w:t>
      </w:r>
    </w:p>
    <w:p w:rsidR="00F13347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>IČ:</w:t>
      </w:r>
      <w:r>
        <w:tab/>
        <w:t>00023281</w:t>
      </w:r>
    </w:p>
    <w:p w:rsidR="00F13347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>DIČ:</w:t>
      </w:r>
      <w:r>
        <w:tab/>
        <w:t>CZ00023281</w:t>
      </w:r>
    </w:p>
    <w:p w:rsidR="00E2166A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 xml:space="preserve">bank, spojení: ČNB, Praha 1 </w:t>
      </w:r>
    </w:p>
    <w:p w:rsidR="00F13347" w:rsidRDefault="00AF2096">
      <w:pPr>
        <w:pStyle w:val="Zkladntext1"/>
        <w:shd w:val="clear" w:color="auto" w:fill="auto"/>
        <w:tabs>
          <w:tab w:val="left" w:pos="1368"/>
        </w:tabs>
        <w:spacing w:after="0"/>
      </w:pPr>
      <w:r>
        <w:t>č. účtu:</w:t>
      </w:r>
      <w:r>
        <w:tab/>
        <w:t>050008-0008839011/0710</w:t>
      </w:r>
    </w:p>
    <w:p w:rsidR="00E2166A" w:rsidRDefault="00AF2096" w:rsidP="00E2166A">
      <w:pPr>
        <w:pStyle w:val="Zkladntext1"/>
        <w:shd w:val="clear" w:color="auto" w:fill="auto"/>
        <w:spacing w:after="0"/>
      </w:pPr>
      <w:r>
        <w:t xml:space="preserve">zastoupená: Alicja Knast, generální ředitelka </w:t>
      </w:r>
    </w:p>
    <w:p w:rsidR="00F13347" w:rsidRDefault="00AF2096">
      <w:pPr>
        <w:pStyle w:val="Zkladntext1"/>
        <w:shd w:val="clear" w:color="auto" w:fill="auto"/>
        <w:spacing w:after="520"/>
      </w:pPr>
      <w:r>
        <w:t xml:space="preserve">(dále jen jako </w:t>
      </w:r>
      <w:r>
        <w:rPr>
          <w:b/>
          <w:bCs/>
        </w:rPr>
        <w:t xml:space="preserve">„objednatel" </w:t>
      </w:r>
      <w:r>
        <w:t xml:space="preserve">a/nebo </w:t>
      </w:r>
      <w:r>
        <w:rPr>
          <w:b/>
          <w:bCs/>
        </w:rPr>
        <w:t>„NGP"</w:t>
      </w:r>
      <w:r>
        <w:t>)</w:t>
      </w:r>
    </w:p>
    <w:p w:rsidR="00F13347" w:rsidRDefault="00AF2096">
      <w:pPr>
        <w:pStyle w:val="Zkladntext1"/>
        <w:shd w:val="clear" w:color="auto" w:fill="auto"/>
        <w:spacing w:after="520"/>
        <w:jc w:val="center"/>
      </w:pPr>
      <w:r>
        <w:t>uzavírají tento</w:t>
      </w:r>
    </w:p>
    <w:p w:rsidR="00F13347" w:rsidRDefault="00AF2096">
      <w:pPr>
        <w:pStyle w:val="Zkladntext1"/>
        <w:shd w:val="clear" w:color="auto" w:fill="auto"/>
        <w:spacing w:after="520"/>
        <w:jc w:val="center"/>
      </w:pPr>
      <w:r>
        <w:rPr>
          <w:b/>
          <w:bCs/>
        </w:rPr>
        <w:t xml:space="preserve">Dodatek č. 2 ke Smlouvě </w:t>
      </w:r>
      <w:r>
        <w:t xml:space="preserve">(dále </w:t>
      </w:r>
      <w:r>
        <w:t xml:space="preserve">jen </w:t>
      </w:r>
      <w:r>
        <w:rPr>
          <w:b/>
          <w:bCs/>
        </w:rPr>
        <w:t>„Dodatek“</w:t>
      </w:r>
      <w:r>
        <w:t>)</w:t>
      </w:r>
    </w:p>
    <w:p w:rsidR="00F13347" w:rsidRDefault="00AF209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</w:pPr>
      <w:bookmarkStart w:id="2" w:name="bookmark2"/>
      <w:bookmarkStart w:id="3" w:name="bookmark3"/>
      <w:r>
        <w:t>PREAMBULE</w:t>
      </w:r>
      <w:bookmarkEnd w:id="2"/>
      <w:bookmarkEnd w:id="3"/>
    </w:p>
    <w:p w:rsidR="00F13347" w:rsidRDefault="00AF2096">
      <w:pPr>
        <w:pStyle w:val="Zkladntext1"/>
        <w:numPr>
          <w:ilvl w:val="0"/>
          <w:numId w:val="2"/>
        </w:numPr>
        <w:shd w:val="clear" w:color="auto" w:fill="auto"/>
        <w:tabs>
          <w:tab w:val="left" w:pos="560"/>
        </w:tabs>
        <w:ind w:left="580" w:hanging="580"/>
        <w:jc w:val="both"/>
      </w:pPr>
      <w:r>
        <w:t>Dne 22. 11. 2018 uzavřely Smluvní strany Smlouvu, na jejímž základě se rozhodly spolupracovat na realizaci projektu: Etapová revitalizace a dlouhodobý rozvoj Českého a Slovenského pavilonu v Benátkách.</w:t>
      </w:r>
    </w:p>
    <w:p w:rsidR="00F13347" w:rsidRDefault="00AF2096">
      <w:pPr>
        <w:pStyle w:val="Zkladntext1"/>
        <w:numPr>
          <w:ilvl w:val="0"/>
          <w:numId w:val="2"/>
        </w:numPr>
        <w:shd w:val="clear" w:color="auto" w:fill="auto"/>
        <w:tabs>
          <w:tab w:val="left" w:pos="560"/>
        </w:tabs>
        <w:spacing w:after="400"/>
      </w:pPr>
      <w:r>
        <w:t xml:space="preserve">Projekt byl rozdělen do tří </w:t>
      </w:r>
      <w:r>
        <w:t>etap, a to:</w:t>
      </w:r>
    </w:p>
    <w:p w:rsidR="00F13347" w:rsidRDefault="00AF2096">
      <w:pPr>
        <w:pStyle w:val="Zkladntext1"/>
        <w:shd w:val="clear" w:color="auto" w:fill="auto"/>
        <w:spacing w:after="0"/>
        <w:ind w:left="580"/>
      </w:pPr>
      <w:r>
        <w:t>A - Revitalizace pavilonu (tvořená první etapou - nutné okamžité úpravy a koncept veřejného prostranství (A1) a druhou etapou - střednědobé a dlouhodobé úpravy objektu (A2));</w:t>
      </w:r>
    </w:p>
    <w:p w:rsidR="00F13347" w:rsidRDefault="00AF2096">
      <w:pPr>
        <w:pStyle w:val="Zkladntext1"/>
        <w:shd w:val="clear" w:color="auto" w:fill="auto"/>
        <w:spacing w:after="0"/>
        <w:ind w:firstLine="580"/>
      </w:pPr>
      <w:r>
        <w:t>B - Koncepce rozvoje pavilonu;</w:t>
      </w:r>
    </w:p>
    <w:p w:rsidR="00F13347" w:rsidRDefault="00AF2096">
      <w:pPr>
        <w:pStyle w:val="Zkladntext1"/>
        <w:shd w:val="clear" w:color="auto" w:fill="auto"/>
        <w:ind w:left="580"/>
      </w:pPr>
      <w:r>
        <w:t>C - Dlouhodobá spolupráce na udržení j</w:t>
      </w:r>
      <w:r>
        <w:t>ednotné koncepce pavilonu v rámci realizace výstav a budoucích úprav.</w:t>
      </w:r>
    </w:p>
    <w:p w:rsidR="00F13347" w:rsidRDefault="00AF2096">
      <w:pPr>
        <w:pStyle w:val="Zkladntext1"/>
        <w:numPr>
          <w:ilvl w:val="0"/>
          <w:numId w:val="2"/>
        </w:numPr>
        <w:shd w:val="clear" w:color="auto" w:fill="auto"/>
        <w:tabs>
          <w:tab w:val="left" w:pos="560"/>
        </w:tabs>
      </w:pPr>
      <w:r>
        <w:t xml:space="preserve">Dne 29. 3. 2019 byla objednateli předložena architektonická studie dle bodu A1.1.1 a koncepční </w:t>
      </w:r>
      <w:r>
        <w:lastRenderedPageBreak/>
        <w:t>studie podle A1.2. Smlouvy. Objednatel tyto studie akceptoval a uhradil za ně zhotoviteli o</w:t>
      </w:r>
      <w:r>
        <w:t>dměnu.</w:t>
      </w:r>
    </w:p>
    <w:p w:rsidR="00F13347" w:rsidRDefault="00AF2096">
      <w:pPr>
        <w:pStyle w:val="Zkladntext1"/>
        <w:numPr>
          <w:ilvl w:val="0"/>
          <w:numId w:val="2"/>
        </w:numPr>
        <w:shd w:val="clear" w:color="auto" w:fill="auto"/>
        <w:tabs>
          <w:tab w:val="left" w:pos="581"/>
        </w:tabs>
        <w:ind w:left="580" w:hanging="580"/>
        <w:jc w:val="both"/>
      </w:pPr>
      <w:r>
        <w:t>Vzhledem k havárii, která v roce 2019 fatálně poškodila celou střešní konstrukci ocelového světlíku pavilonu, je třeba upravit a rozšířit již předloženou architektonickou studii tak, aby reagovala na současný stav po havárii dle specifikace obsažené</w:t>
      </w:r>
      <w:r>
        <w:t xml:space="preserve"> v Příloze č. 1.</w:t>
      </w:r>
    </w:p>
    <w:p w:rsidR="00F13347" w:rsidRDefault="00AF2096">
      <w:pPr>
        <w:pStyle w:val="Zkladntext1"/>
        <w:numPr>
          <w:ilvl w:val="0"/>
          <w:numId w:val="2"/>
        </w:numPr>
        <w:shd w:val="clear" w:color="auto" w:fill="auto"/>
        <w:tabs>
          <w:tab w:val="left" w:pos="581"/>
        </w:tabs>
        <w:spacing w:after="520"/>
        <w:jc w:val="both"/>
      </w:pPr>
      <w:r>
        <w:t>S ohledem na výše uvedené se smluvní strany dohodly na níže uvedených změnách Smlouvy.</w:t>
      </w:r>
    </w:p>
    <w:p w:rsidR="00F13347" w:rsidRDefault="00AF209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81"/>
        </w:tabs>
      </w:pPr>
      <w:bookmarkStart w:id="4" w:name="bookmark4"/>
      <w:bookmarkStart w:id="5" w:name="bookmark5"/>
      <w:r>
        <w:t>PŘEDMĚT DODATKU</w:t>
      </w:r>
      <w:bookmarkEnd w:id="4"/>
      <w:bookmarkEnd w:id="5"/>
    </w:p>
    <w:p w:rsidR="00F13347" w:rsidRDefault="00AF2096">
      <w:pPr>
        <w:pStyle w:val="Zkladntext1"/>
        <w:numPr>
          <w:ilvl w:val="0"/>
          <w:numId w:val="3"/>
        </w:numPr>
        <w:shd w:val="clear" w:color="auto" w:fill="auto"/>
        <w:tabs>
          <w:tab w:val="left" w:pos="581"/>
          <w:tab w:val="left" w:pos="2050"/>
        </w:tabs>
        <w:spacing w:after="0"/>
        <w:ind w:left="580" w:hanging="580"/>
        <w:jc w:val="both"/>
      </w:pPr>
      <w:r>
        <w:t>Předmětem tohoto Dodatku je, na základě předchozí dohody smluvních stran, změna Smlouvy, spočívají v:</w:t>
      </w:r>
      <w:r>
        <w:tab/>
      </w:r>
      <w:r w:rsidR="00E2166A">
        <w:t xml:space="preserve">  </w:t>
      </w:r>
      <w:r>
        <w:t xml:space="preserve">- </w:t>
      </w:r>
      <w:r w:rsidR="00E2166A">
        <w:t xml:space="preserve">    </w:t>
      </w:r>
      <w:r>
        <w:t xml:space="preserve">změně části etapy A1 - Nutné </w:t>
      </w:r>
      <w:r>
        <w:t>okamžité úpravy;</w:t>
      </w:r>
    </w:p>
    <w:p w:rsidR="00F13347" w:rsidRDefault="00AF2096">
      <w:pPr>
        <w:pStyle w:val="Zkladntext1"/>
        <w:numPr>
          <w:ilvl w:val="0"/>
          <w:numId w:val="4"/>
        </w:numPr>
        <w:shd w:val="clear" w:color="auto" w:fill="auto"/>
        <w:tabs>
          <w:tab w:val="left" w:pos="2497"/>
        </w:tabs>
        <w:spacing w:after="0"/>
        <w:ind w:left="2140"/>
        <w:jc w:val="both"/>
      </w:pPr>
      <w:r>
        <w:t>změně etapy A2 - Střednědobé a dlouhodobé úpravy objektu;</w:t>
      </w:r>
    </w:p>
    <w:p w:rsidR="00F13347" w:rsidRDefault="00AF2096">
      <w:pPr>
        <w:pStyle w:val="Zkladntext1"/>
        <w:numPr>
          <w:ilvl w:val="0"/>
          <w:numId w:val="4"/>
        </w:numPr>
        <w:shd w:val="clear" w:color="auto" w:fill="auto"/>
        <w:tabs>
          <w:tab w:val="left" w:pos="2497"/>
        </w:tabs>
        <w:spacing w:after="0"/>
        <w:ind w:left="2140"/>
        <w:jc w:val="both"/>
      </w:pPr>
      <w:r>
        <w:t>vypuštění etapy B - Koncept rozvoje pavilonu</w:t>
      </w:r>
    </w:p>
    <w:p w:rsidR="00F13347" w:rsidRDefault="00AF2096">
      <w:pPr>
        <w:pStyle w:val="Zkladntext1"/>
        <w:numPr>
          <w:ilvl w:val="0"/>
          <w:numId w:val="4"/>
        </w:numPr>
        <w:shd w:val="clear" w:color="auto" w:fill="auto"/>
        <w:tabs>
          <w:tab w:val="left" w:pos="2497"/>
        </w:tabs>
        <w:ind w:left="2500" w:hanging="360"/>
        <w:jc w:val="both"/>
      </w:pPr>
      <w:r>
        <w:t>vypuštění etapy C - Dlouhodobá spolupráce na udržení jednotné koncepce pavilonu v rámci realizace výstav a budoucích úprav;</w:t>
      </w:r>
    </w:p>
    <w:p w:rsidR="00F13347" w:rsidRDefault="00AF2096">
      <w:pPr>
        <w:pStyle w:val="Zkladntext1"/>
        <w:shd w:val="clear" w:color="auto" w:fill="auto"/>
        <w:spacing w:after="520"/>
        <w:ind w:firstLine="580"/>
        <w:jc w:val="both"/>
      </w:pPr>
      <w:r>
        <w:t>a s tím spoj</w:t>
      </w:r>
      <w:r>
        <w:t>ená změna níže uvedených ustanovení Smlouvy.</w:t>
      </w:r>
    </w:p>
    <w:p w:rsidR="00F13347" w:rsidRDefault="00AF2096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81"/>
        </w:tabs>
      </w:pPr>
      <w:bookmarkStart w:id="6" w:name="bookmark6"/>
      <w:bookmarkStart w:id="7" w:name="bookmark7"/>
      <w:r>
        <w:t>ZMĚNA Čl. III - PŘEDMĚT SMLOUVY</w:t>
      </w:r>
      <w:bookmarkEnd w:id="6"/>
      <w:bookmarkEnd w:id="7"/>
    </w:p>
    <w:p w:rsidR="00F13347" w:rsidRDefault="00AF2096">
      <w:pPr>
        <w:pStyle w:val="Zkladntext1"/>
        <w:numPr>
          <w:ilvl w:val="0"/>
          <w:numId w:val="5"/>
        </w:numPr>
        <w:shd w:val="clear" w:color="auto" w:fill="auto"/>
        <w:tabs>
          <w:tab w:val="left" w:pos="581"/>
        </w:tabs>
        <w:jc w:val="both"/>
      </w:pPr>
      <w:r>
        <w:t xml:space="preserve">Z článku III. odst. 3.1, se </w:t>
      </w:r>
      <w:r>
        <w:rPr>
          <w:u w:val="single"/>
        </w:rPr>
        <w:t>vypouští</w:t>
      </w:r>
      <w:r>
        <w:t xml:space="preserve"> bod B a C ve znění:</w:t>
      </w:r>
    </w:p>
    <w:p w:rsidR="00F13347" w:rsidRDefault="00AF2096">
      <w:pPr>
        <w:pStyle w:val="Zkladntext1"/>
        <w:shd w:val="clear" w:color="auto" w:fill="auto"/>
        <w:spacing w:after="0"/>
        <w:ind w:firstLine="580"/>
        <w:jc w:val="both"/>
      </w:pPr>
      <w:r>
        <w:rPr>
          <w:b/>
          <w:bCs/>
          <w:i/>
          <w:iCs/>
        </w:rPr>
        <w:t>„B Koncepce rozvoje pavilonu</w:t>
      </w:r>
    </w:p>
    <w:p w:rsidR="00F13347" w:rsidRDefault="00AF2096">
      <w:pPr>
        <w:pStyle w:val="Zkladntext1"/>
        <w:shd w:val="clear" w:color="auto" w:fill="auto"/>
        <w:ind w:left="580"/>
        <w:jc w:val="both"/>
      </w:pPr>
      <w:r>
        <w:rPr>
          <w:i/>
          <w:iCs/>
        </w:rPr>
        <w:t xml:space="preserve">Koncepce jednotné, kvalitní a dlouhodobé identity pavilonu. Vytvoření dlouhodobé ideové, </w:t>
      </w:r>
      <w:r>
        <w:rPr>
          <w:i/>
          <w:iCs/>
        </w:rPr>
        <w:t>architektonické a technické koncepce:</w:t>
      </w:r>
    </w:p>
    <w:p w:rsidR="00F13347" w:rsidRDefault="00AF2096">
      <w:pPr>
        <w:pStyle w:val="Zkladntext1"/>
        <w:shd w:val="clear" w:color="auto" w:fill="auto"/>
        <w:ind w:left="580"/>
        <w:jc w:val="both"/>
      </w:pPr>
      <w:r>
        <w:rPr>
          <w:b/>
          <w:bCs/>
          <w:i/>
          <w:iCs/>
        </w:rPr>
        <w:t>C Dlouhodobá spolupráce smluvních stran na udržení jednotné koncepce pavilonu v rámci realizací výstav a budoucích úprav.“</w:t>
      </w:r>
    </w:p>
    <w:p w:rsidR="00F13347" w:rsidRDefault="00AF2096">
      <w:pPr>
        <w:pStyle w:val="Zkladntext1"/>
        <w:numPr>
          <w:ilvl w:val="0"/>
          <w:numId w:val="5"/>
        </w:numPr>
        <w:shd w:val="clear" w:color="auto" w:fill="auto"/>
        <w:tabs>
          <w:tab w:val="left" w:pos="581"/>
        </w:tabs>
        <w:ind w:left="580" w:hanging="580"/>
        <w:jc w:val="both"/>
      </w:pPr>
      <w:r>
        <w:t xml:space="preserve">Z článku III., odst. 3.6, bod </w:t>
      </w:r>
      <w:r>
        <w:rPr>
          <w:lang w:val="en-US" w:eastAsia="en-US" w:bidi="en-US"/>
        </w:rPr>
        <w:t xml:space="preserve">A, </w:t>
      </w:r>
      <w:r>
        <w:t xml:space="preserve">odst. A1.1, oddíl Stupeň dokumentace, se </w:t>
      </w:r>
      <w:r>
        <w:rPr>
          <w:u w:val="single"/>
        </w:rPr>
        <w:t>vypouští</w:t>
      </w:r>
      <w:r>
        <w:t xml:space="preserve"> bod A1.1.2 v</w:t>
      </w:r>
      <w:r>
        <w:t>e znění:</w:t>
      </w:r>
    </w:p>
    <w:p w:rsidR="00F13347" w:rsidRDefault="00AF2096">
      <w:pPr>
        <w:pStyle w:val="Zkladntext1"/>
        <w:shd w:val="clear" w:color="auto" w:fill="auto"/>
        <w:spacing w:after="0"/>
        <w:ind w:firstLine="580"/>
        <w:jc w:val="both"/>
      </w:pPr>
      <w:r>
        <w:rPr>
          <w:i/>
          <w:iCs/>
        </w:rPr>
        <w:t>„Prováděcí projekt a zadávací dokumentace jako podklad pro výběr dodavatele</w:t>
      </w:r>
    </w:p>
    <w:p w:rsidR="00F13347" w:rsidRDefault="00AF2096">
      <w:pPr>
        <w:pStyle w:val="Zkladntext1"/>
        <w:shd w:val="clear" w:color="auto" w:fill="auto"/>
        <w:spacing w:after="520"/>
        <w:ind w:left="580"/>
        <w:jc w:val="both"/>
      </w:pPr>
      <w:r>
        <w:rPr>
          <w:i/>
          <w:iCs/>
        </w:rPr>
        <w:t>Vypracovaná dokumentace bude použita i pro schválení italskou stranou v rovině správy pavilonu, které zajišťuje NGP. Bude-li dokumentace vrácena italskou stranou k přeprac</w:t>
      </w:r>
      <w:r>
        <w:rPr>
          <w:i/>
          <w:iCs/>
        </w:rPr>
        <w:t>ování, zavazuje se architekt zapracovat v rámci plnění této etapy veškeré požadavky italské strany, a to pouze v případě, pokud nejsou nad rámec rozsahu díla této smlouvy a navrženého řešení odsouhlaseného NGP na základě A1.1.1. Zapracování požadavků itals</w:t>
      </w:r>
      <w:r>
        <w:rPr>
          <w:i/>
          <w:iCs/>
        </w:rPr>
        <w:t xml:space="preserve">ké strany bude provedeno nejpozději ve lhůtě 14 dnů od doručení těchto požadavků architektovi. Případný projekt pro stavební povolení, jiná dokumentace sloužící k získání stavebního povolení, zajištění stavebního povolení a spolupráce architekta s další - </w:t>
      </w:r>
      <w:r>
        <w:rPr>
          <w:i/>
          <w:iCs/>
        </w:rPr>
        <w:t>italskou stranou na případném projektu lokálního projektanta, zastupování při projednání dokumentace před místními úřady, lokální autorizace projektu, či realizace, bude řešeno samostatně a není součástí díla“.</w:t>
      </w:r>
    </w:p>
    <w:p w:rsidR="00F13347" w:rsidRDefault="00AF2096">
      <w:pPr>
        <w:pStyle w:val="Zkladntext1"/>
        <w:numPr>
          <w:ilvl w:val="0"/>
          <w:numId w:val="5"/>
        </w:numPr>
        <w:shd w:val="clear" w:color="auto" w:fill="auto"/>
        <w:tabs>
          <w:tab w:val="left" w:pos="581"/>
        </w:tabs>
        <w:jc w:val="both"/>
      </w:pPr>
      <w:r>
        <w:t xml:space="preserve">Z článku III., odst. 3.6, bod </w:t>
      </w:r>
      <w:r>
        <w:rPr>
          <w:lang w:val="en-US" w:eastAsia="en-US" w:bidi="en-US"/>
        </w:rPr>
        <w:t xml:space="preserve">A, </w:t>
      </w:r>
      <w:r>
        <w:t xml:space="preserve">odst. A1.1., oddíl Podklady, se </w:t>
      </w:r>
      <w:r>
        <w:rPr>
          <w:u w:val="single"/>
        </w:rPr>
        <w:t>vypouští</w:t>
      </w:r>
      <w:r>
        <w:t xml:space="preserve"> druhá věta ve znění:</w:t>
      </w:r>
    </w:p>
    <w:p w:rsidR="00A63DBD" w:rsidRDefault="00AF2096">
      <w:pPr>
        <w:pStyle w:val="Zkladntext1"/>
        <w:shd w:val="clear" w:color="auto" w:fill="auto"/>
        <w:ind w:firstLine="580"/>
        <w:jc w:val="both"/>
        <w:rPr>
          <w:i/>
          <w:iCs/>
        </w:rPr>
      </w:pPr>
      <w:r>
        <w:rPr>
          <w:i/>
          <w:iCs/>
        </w:rPr>
        <w:t xml:space="preserve">„Pro prováděcí projekt a zadávací dokumentaci bude nutné provést digitální případně / 3D </w:t>
      </w:r>
    </w:p>
    <w:p w:rsidR="00A63DBD" w:rsidRDefault="00A63DBD">
      <w:pPr>
        <w:pStyle w:val="Zkladntext1"/>
        <w:shd w:val="clear" w:color="auto" w:fill="auto"/>
        <w:ind w:firstLine="580"/>
        <w:jc w:val="both"/>
        <w:rPr>
          <w:i/>
          <w:iCs/>
        </w:rPr>
      </w:pPr>
    </w:p>
    <w:p w:rsidR="00F13347" w:rsidRDefault="00AF2096" w:rsidP="00A63DBD">
      <w:pPr>
        <w:pStyle w:val="Zkladntext1"/>
        <w:shd w:val="clear" w:color="auto" w:fill="auto"/>
        <w:ind w:left="560" w:firstLine="20"/>
        <w:jc w:val="both"/>
      </w:pPr>
      <w:r>
        <w:rPr>
          <w:i/>
          <w:iCs/>
        </w:rPr>
        <w:lastRenderedPageBreak/>
        <w:t xml:space="preserve">scanování, či doměření detailů na místě, určených ve fázi studie, které dodá objednatel. Veškeré </w:t>
      </w:r>
      <w:r>
        <w:rPr>
          <w:i/>
          <w:iCs/>
        </w:rPr>
        <w:t>potřebné</w:t>
      </w:r>
      <w:r>
        <w:rPr>
          <w:i/>
          <w:iCs/>
        </w:rPr>
        <w:t xml:space="preserve"> technické podklady (sítě, rozvody, kapacity apod.) dodá objednatel.“</w:t>
      </w:r>
    </w:p>
    <w:p w:rsidR="00F13347" w:rsidRDefault="00AF2096">
      <w:pPr>
        <w:pStyle w:val="Zkladntext1"/>
        <w:numPr>
          <w:ilvl w:val="0"/>
          <w:numId w:val="5"/>
        </w:numPr>
        <w:shd w:val="clear" w:color="auto" w:fill="auto"/>
        <w:tabs>
          <w:tab w:val="left" w:pos="563"/>
        </w:tabs>
        <w:spacing w:after="400"/>
        <w:ind w:left="560" w:hanging="560"/>
      </w:pPr>
      <w:r>
        <w:t xml:space="preserve">Článek III, odst. 3.6, bod A2 - Střednědobé a dlouhodobé úpravy objektu se </w:t>
      </w:r>
      <w:r>
        <w:rPr>
          <w:u w:val="single"/>
        </w:rPr>
        <w:t xml:space="preserve">vypouští a nahrazuje </w:t>
      </w:r>
      <w:r>
        <w:t>se následujícím zněním:</w:t>
      </w:r>
    </w:p>
    <w:p w:rsidR="00F13347" w:rsidRDefault="00AF2096">
      <w:pPr>
        <w:pStyle w:val="Zkladntext1"/>
        <w:shd w:val="clear" w:color="auto" w:fill="auto"/>
        <w:ind w:firstLine="560"/>
      </w:pPr>
      <w:r>
        <w:t xml:space="preserve">„ </w:t>
      </w:r>
      <w:r>
        <w:rPr>
          <w:i/>
          <w:iCs/>
          <w:u w:val="single"/>
        </w:rPr>
        <w:t xml:space="preserve">A2 </w:t>
      </w:r>
      <w:r w:rsidR="00A63DBD">
        <w:rPr>
          <w:i/>
          <w:iCs/>
          <w:u w:val="single"/>
        </w:rPr>
        <w:tab/>
      </w:r>
      <w:r>
        <w:rPr>
          <w:i/>
          <w:iCs/>
          <w:u w:val="single"/>
        </w:rPr>
        <w:t>Rozšířená studie reagující na stav po havárii</w:t>
      </w:r>
    </w:p>
    <w:p w:rsidR="00F13347" w:rsidRDefault="00AF2096">
      <w:pPr>
        <w:pStyle w:val="Zkladntext1"/>
        <w:shd w:val="clear" w:color="auto" w:fill="auto"/>
        <w:spacing w:after="0"/>
        <w:ind w:firstLine="560"/>
      </w:pPr>
      <w:r>
        <w:rPr>
          <w:i/>
          <w:iCs/>
          <w:u w:val="single"/>
        </w:rPr>
        <w:t>Rozsah</w:t>
      </w:r>
      <w:r>
        <w:rPr>
          <w:i/>
          <w:iCs/>
        </w:rPr>
        <w:t>:</w:t>
      </w:r>
    </w:p>
    <w:p w:rsidR="00F13347" w:rsidRDefault="00AF2096">
      <w:pPr>
        <w:pStyle w:val="Zkladntext1"/>
        <w:shd w:val="clear" w:color="auto" w:fill="auto"/>
        <w:spacing w:after="400"/>
        <w:ind w:left="560" w:firstLine="20"/>
      </w:pPr>
      <w:r>
        <w:rPr>
          <w:i/>
          <w:iCs/>
        </w:rPr>
        <w:t xml:space="preserve">Vypracování architektonické studie dle aktuálního zadání a specifikace požadavků objednatele a v návaznosti na stav objektu po havárii z roku 2019 (přesná specifikace požadavků objednatele tvoří </w:t>
      </w:r>
      <w:r>
        <w:rPr>
          <w:i/>
          <w:iCs/>
          <w:u w:val="single"/>
        </w:rPr>
        <w:t>Přílohu č. 1</w:t>
      </w:r>
      <w:r>
        <w:rPr>
          <w:i/>
          <w:iCs/>
        </w:rPr>
        <w:t xml:space="preserve"> tohoto Dodatku).</w:t>
      </w:r>
    </w:p>
    <w:p w:rsidR="00F13347" w:rsidRDefault="00AF2096">
      <w:pPr>
        <w:pStyle w:val="Zkladntext1"/>
        <w:shd w:val="clear" w:color="auto" w:fill="auto"/>
        <w:spacing w:after="0"/>
        <w:ind w:firstLine="560"/>
      </w:pPr>
      <w:r>
        <w:rPr>
          <w:i/>
          <w:iCs/>
          <w:u w:val="single"/>
        </w:rPr>
        <w:t>Stupeň dokumentace</w:t>
      </w:r>
      <w:r>
        <w:rPr>
          <w:i/>
          <w:iCs/>
        </w:rPr>
        <w:t>:</w:t>
      </w:r>
    </w:p>
    <w:p w:rsidR="00F13347" w:rsidRDefault="00AF2096">
      <w:pPr>
        <w:pStyle w:val="Zkladntext1"/>
        <w:shd w:val="clear" w:color="auto" w:fill="auto"/>
        <w:ind w:firstLine="560"/>
      </w:pPr>
      <w:r>
        <w:rPr>
          <w:i/>
          <w:iCs/>
        </w:rPr>
        <w:t>Architekton</w:t>
      </w:r>
      <w:r>
        <w:rPr>
          <w:i/>
          <w:iCs/>
        </w:rPr>
        <w:t>ická studie</w:t>
      </w:r>
    </w:p>
    <w:p w:rsidR="00F13347" w:rsidRDefault="00AF2096">
      <w:pPr>
        <w:pStyle w:val="Zkladntext1"/>
        <w:shd w:val="clear" w:color="auto" w:fill="auto"/>
        <w:spacing w:after="0"/>
        <w:ind w:firstLine="560"/>
      </w:pPr>
      <w:r>
        <w:rPr>
          <w:i/>
          <w:iCs/>
          <w:u w:val="single"/>
        </w:rPr>
        <w:t>Podklady</w:t>
      </w:r>
      <w:r>
        <w:rPr>
          <w:i/>
          <w:iCs/>
        </w:rPr>
        <w:t>:</w:t>
      </w:r>
    </w:p>
    <w:p w:rsidR="00F13347" w:rsidRDefault="00AF2096">
      <w:pPr>
        <w:pStyle w:val="Zkladntext1"/>
        <w:shd w:val="clear" w:color="auto" w:fill="auto"/>
        <w:ind w:left="560" w:firstLine="20"/>
      </w:pPr>
      <w:r>
        <w:rPr>
          <w:i/>
          <w:iCs/>
        </w:rPr>
        <w:t>Studie bude vypracována na základě aktuálních požadavků a podkladů objednatele, které tvoří Přílohu č. 1 tohoto Dodatku.“</w:t>
      </w:r>
    </w:p>
    <w:p w:rsidR="00F13347" w:rsidRDefault="00AF2096">
      <w:pPr>
        <w:pStyle w:val="Zkladntext1"/>
        <w:numPr>
          <w:ilvl w:val="0"/>
          <w:numId w:val="5"/>
        </w:numPr>
        <w:shd w:val="clear" w:color="auto" w:fill="auto"/>
        <w:tabs>
          <w:tab w:val="left" w:pos="563"/>
        </w:tabs>
      </w:pPr>
      <w:r>
        <w:t xml:space="preserve">Z článku III, odst. 3.6, se </w:t>
      </w:r>
      <w:r>
        <w:rPr>
          <w:u w:val="single"/>
        </w:rPr>
        <w:t>vypouští</w:t>
      </w:r>
      <w:r>
        <w:t xml:space="preserve"> bod B - Koncepce rozvoje pavilonu, ve znění:</w:t>
      </w:r>
    </w:p>
    <w:p w:rsidR="00F13347" w:rsidRDefault="00AF2096">
      <w:pPr>
        <w:pStyle w:val="Zkladntext1"/>
        <w:shd w:val="clear" w:color="auto" w:fill="auto"/>
        <w:ind w:firstLine="560"/>
      </w:pPr>
      <w:r>
        <w:rPr>
          <w:b/>
          <w:bCs/>
          <w:i/>
          <w:iCs/>
        </w:rPr>
        <w:t>„B Koncepce rozvoje pavilonu</w:t>
      </w:r>
    </w:p>
    <w:p w:rsidR="00F13347" w:rsidRDefault="00AF2096">
      <w:pPr>
        <w:pStyle w:val="Zkladntext1"/>
        <w:shd w:val="clear" w:color="auto" w:fill="auto"/>
        <w:spacing w:after="0"/>
        <w:ind w:firstLine="560"/>
      </w:pPr>
      <w:r>
        <w:rPr>
          <w:i/>
          <w:iCs/>
          <w:u w:val="single"/>
        </w:rPr>
        <w:t>Rozsah:</w:t>
      </w:r>
    </w:p>
    <w:p w:rsidR="00F13347" w:rsidRDefault="00AF2096">
      <w:pPr>
        <w:pStyle w:val="Zkladntext1"/>
        <w:shd w:val="clear" w:color="auto" w:fill="auto"/>
        <w:spacing w:after="0"/>
        <w:ind w:left="560" w:firstLine="20"/>
      </w:pPr>
      <w:r>
        <w:rPr>
          <w:i/>
          <w:iCs/>
        </w:rPr>
        <w:t>Koncepční směrný dokument reprezentace a identity pavilonu, který posílí kvalitu prezentace České a Slovenské republiky světové veřejnosti a zároveň bude poskytovat důstojné zázemí a oporu jednotlivým výstavním projektům.</w:t>
      </w:r>
    </w:p>
    <w:p w:rsidR="00F13347" w:rsidRDefault="00AF2096">
      <w:pPr>
        <w:pStyle w:val="Zkladntext1"/>
        <w:shd w:val="clear" w:color="auto" w:fill="auto"/>
        <w:spacing w:after="0"/>
        <w:ind w:left="560" w:firstLine="20"/>
      </w:pPr>
      <w:r>
        <w:rPr>
          <w:i/>
          <w:iCs/>
        </w:rPr>
        <w:t>Dlouhodobá koncepce celkov</w:t>
      </w:r>
      <w:r>
        <w:rPr>
          <w:i/>
          <w:iCs/>
        </w:rPr>
        <w:t>ého rozvoje, technických a stavebních úprav a údržby, která je zároveň předpokladem ekonomické úspornosti a efektivity.</w:t>
      </w:r>
    </w:p>
    <w:p w:rsidR="00F13347" w:rsidRDefault="00AF2096">
      <w:pPr>
        <w:pStyle w:val="Zkladntext1"/>
        <w:shd w:val="clear" w:color="auto" w:fill="auto"/>
        <w:ind w:firstLine="560"/>
      </w:pPr>
      <w:r>
        <w:rPr>
          <w:i/>
          <w:iCs/>
        </w:rPr>
        <w:t>Koncepce rozvoje - ideová, architektonická, technická.</w:t>
      </w:r>
    </w:p>
    <w:p w:rsidR="00F13347" w:rsidRDefault="00AF2096">
      <w:pPr>
        <w:pStyle w:val="Zkladntext1"/>
        <w:shd w:val="clear" w:color="auto" w:fill="auto"/>
        <w:spacing w:after="0"/>
        <w:ind w:firstLine="560"/>
      </w:pPr>
      <w:r>
        <w:rPr>
          <w:i/>
          <w:iCs/>
          <w:u w:val="single"/>
        </w:rPr>
        <w:t>Stupeň dokumentace:</w:t>
      </w:r>
    </w:p>
    <w:p w:rsidR="00F13347" w:rsidRDefault="00AF2096">
      <w:pPr>
        <w:pStyle w:val="Zkladntext1"/>
        <w:shd w:val="clear" w:color="auto" w:fill="auto"/>
        <w:spacing w:after="520"/>
        <w:ind w:firstLine="560"/>
      </w:pPr>
      <w:r>
        <w:rPr>
          <w:i/>
          <w:iCs/>
        </w:rPr>
        <w:t>Koncepce.“</w:t>
      </w:r>
    </w:p>
    <w:p w:rsidR="00F13347" w:rsidRDefault="00AF2096">
      <w:pPr>
        <w:pStyle w:val="Zkladntext1"/>
        <w:numPr>
          <w:ilvl w:val="0"/>
          <w:numId w:val="5"/>
        </w:numPr>
        <w:shd w:val="clear" w:color="auto" w:fill="auto"/>
        <w:tabs>
          <w:tab w:val="left" w:pos="563"/>
        </w:tabs>
        <w:ind w:left="560" w:hanging="560"/>
      </w:pPr>
      <w:r>
        <w:t xml:space="preserve">Z článku III, odst. 3.6, se </w:t>
      </w:r>
      <w:r>
        <w:rPr>
          <w:u w:val="single"/>
        </w:rPr>
        <w:t>vypouští</w:t>
      </w:r>
      <w:r>
        <w:t xml:space="preserve"> bod C - Dlouhodobá spolupráce na udržení jednotné koncepce pavilonu v rámci realizace výstav a budoucích úprav, ve znění:</w:t>
      </w:r>
    </w:p>
    <w:p w:rsidR="00F13347" w:rsidRDefault="00AF2096">
      <w:pPr>
        <w:pStyle w:val="Zkladntext1"/>
        <w:shd w:val="clear" w:color="auto" w:fill="auto"/>
        <w:spacing w:after="0"/>
        <w:ind w:left="900" w:hanging="320"/>
      </w:pPr>
      <w:r>
        <w:rPr>
          <w:b/>
          <w:bCs/>
          <w:i/>
          <w:iCs/>
        </w:rPr>
        <w:t xml:space="preserve">„C </w:t>
      </w:r>
      <w:r w:rsidR="00A63DB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Dlouhodobá spolupráce na udržení jednotné koncepce pavilonu v rámci realizací výstav a budoucích úprav</w:t>
      </w:r>
    </w:p>
    <w:p w:rsidR="00F13347" w:rsidRDefault="00AF2096">
      <w:pPr>
        <w:pStyle w:val="Zkladntext1"/>
        <w:shd w:val="clear" w:color="auto" w:fill="auto"/>
        <w:spacing w:after="0"/>
        <w:ind w:firstLine="700"/>
      </w:pPr>
      <w:r>
        <w:rPr>
          <w:i/>
          <w:iCs/>
          <w:u w:val="single"/>
        </w:rPr>
        <w:t>Rozsah:</w:t>
      </w:r>
    </w:p>
    <w:p w:rsidR="00F13347" w:rsidRDefault="00AF2096">
      <w:pPr>
        <w:pStyle w:val="Zkladntext1"/>
        <w:shd w:val="clear" w:color="auto" w:fill="auto"/>
        <w:ind w:left="700" w:firstLine="20"/>
      </w:pPr>
      <w:r>
        <w:rPr>
          <w:i/>
          <w:iCs/>
        </w:rPr>
        <w:t>Dlouhodobá spoluprá</w:t>
      </w:r>
      <w:r>
        <w:rPr>
          <w:i/>
          <w:iCs/>
        </w:rPr>
        <w:t>ce architekta s cílem zajištění souladu připravovaných stavebních, výstavních a dalších záměrů s celkovou koncepcí pavilonu. Dle potřeby a vyzvání NGP.</w:t>
      </w:r>
    </w:p>
    <w:p w:rsidR="00F13347" w:rsidRDefault="00AF2096">
      <w:pPr>
        <w:pStyle w:val="Zkladntext1"/>
        <w:shd w:val="clear" w:color="auto" w:fill="auto"/>
        <w:spacing w:after="0"/>
        <w:ind w:firstLine="700"/>
      </w:pPr>
      <w:r>
        <w:rPr>
          <w:i/>
          <w:iCs/>
          <w:u w:val="single"/>
        </w:rPr>
        <w:t>Způsob účtování:</w:t>
      </w:r>
    </w:p>
    <w:p w:rsidR="00F13347" w:rsidRDefault="00AF2096">
      <w:pPr>
        <w:pStyle w:val="Zkladntext1"/>
        <w:shd w:val="clear" w:color="auto" w:fill="auto"/>
        <w:ind w:firstLine="700"/>
      </w:pPr>
      <w:r>
        <w:rPr>
          <w:i/>
          <w:iCs/>
        </w:rPr>
        <w:t>Hodinová sazba účtovaná za každých započatých 15 minut.“</w:t>
      </w:r>
      <w:r>
        <w:br w:type="page"/>
      </w:r>
    </w:p>
    <w:p w:rsidR="00F13347" w:rsidRDefault="00AF2096" w:rsidP="00A63DBD">
      <w:pPr>
        <w:pStyle w:val="Nadpis10"/>
        <w:keepNext/>
        <w:keepLines/>
        <w:shd w:val="clear" w:color="auto" w:fill="auto"/>
        <w:ind w:firstLine="18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12700</wp:posOffset>
                </wp:positionV>
                <wp:extent cx="186055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IV.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8.5pt;margin-top:1.pt;width:14.65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IV.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8" w:name="bookmark8"/>
      <w:bookmarkStart w:id="9" w:name="bookmark9"/>
      <w:r>
        <w:t xml:space="preserve">ZMĚNA Čl. IV - DOBA </w:t>
      </w:r>
      <w:r>
        <w:t>PLNĚNÍ</w:t>
      </w:r>
      <w:bookmarkEnd w:id="8"/>
      <w:bookmarkEnd w:id="9"/>
    </w:p>
    <w:p w:rsidR="00F13347" w:rsidRDefault="00AF2096">
      <w:pPr>
        <w:pStyle w:val="Zkladntext1"/>
        <w:shd w:val="clear" w:color="auto" w:fill="auto"/>
        <w:ind w:firstLine="1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703705" distL="12700" distR="12700" simplePos="0" relativeHeight="125829380" behindDoc="0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12700</wp:posOffset>
                </wp:positionV>
                <wp:extent cx="250190" cy="1949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4.1.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3.799999999999997pt;margin-top:1.pt;width:19.699999999999999pt;height:15.35pt;z-index:-125829373;mso-wrap-distance-left:1.pt;mso-wrap-distance-right:1.pt;mso-wrap-distance-bottom:134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4.1.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0265" distB="853440" distL="19050" distR="15875" simplePos="0" relativeHeight="125829382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862965</wp:posOffset>
                </wp:positionV>
                <wp:extent cx="240665" cy="1949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4.2.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4.299999999999997pt;margin-top:67.950000000000003pt;width:18.949999999999999pt;height:15.35pt;z-index:-125829371;mso-wrap-distance-left:1.5pt;mso-wrap-distance-top:66.950000000000003pt;mso-wrap-distance-right:1.25pt;mso-wrap-distance-bottom:67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4.2.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03705" distB="0" distL="21590" distR="19050" simplePos="0" relativeHeight="125829384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1716405</wp:posOffset>
                </wp:positionV>
                <wp:extent cx="234950" cy="1949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4.3.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4.5pt;margin-top:135.15000000000001pt;width:18.5pt;height:15.35pt;z-index:-125829369;mso-wrap-distance-left:1.7pt;mso-wrap-distance-top:134.15000000000001pt;mso-wrap-distance-right:1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4.3.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Z článku IV., odst. 4. 1., bod A - Revitalizace pavilonu, se </w:t>
      </w:r>
      <w:r>
        <w:rPr>
          <w:u w:val="single"/>
        </w:rPr>
        <w:t>vypouští</w:t>
      </w:r>
      <w:r>
        <w:t xml:space="preserve"> bod A1.1.2 ve znění:</w:t>
      </w:r>
    </w:p>
    <w:p w:rsidR="00F13347" w:rsidRDefault="00AF2096">
      <w:pPr>
        <w:pStyle w:val="Zkladntext1"/>
        <w:shd w:val="clear" w:color="auto" w:fill="auto"/>
        <w:spacing w:after="520"/>
        <w:ind w:right="5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12700</wp:posOffset>
                </wp:positionV>
                <wp:extent cx="1987550" cy="19494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„A1.1.2 </w:t>
                            </w:r>
                            <w:r w:rsidR="00A63DBD">
                              <w:rPr>
                                <w:i/>
                                <w:iCs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iCs/>
                              </w:rPr>
                              <w:t>Prováděcí dokumentace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left:0;text-align:left;margin-left:92.1pt;margin-top:1pt;width:156.5pt;height:15.3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" filled="f" stroked="f">
                <v:textbox inset="0,0,0,0">
                  <w:txbxContent>
                    <w:p w:rsidR="00F13347" w:rsidRDefault="00AF209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 xml:space="preserve">„A1.1.2 </w:t>
                      </w:r>
                      <w:r w:rsidR="00A63DBD">
                        <w:rPr>
                          <w:i/>
                          <w:iCs/>
                        </w:rPr>
                        <w:t xml:space="preserve">    </w:t>
                      </w:r>
                      <w:r>
                        <w:rPr>
                          <w:i/>
                          <w:iCs/>
                        </w:rPr>
                        <w:t>Prováděcí dokumentace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do 3 týdnů od schválení A1.1.1 objednatelem“</w:t>
      </w:r>
    </w:p>
    <w:p w:rsidR="00F13347" w:rsidRDefault="00AF2096">
      <w:pPr>
        <w:pStyle w:val="Zkladntext1"/>
        <w:shd w:val="clear" w:color="auto" w:fill="auto"/>
        <w:spacing w:after="0"/>
        <w:ind w:firstLine="180"/>
        <w:jc w:val="both"/>
      </w:pPr>
      <w:r>
        <w:t xml:space="preserve">Článek IV., odst. 4. 1., bod A2 se </w:t>
      </w:r>
      <w:r>
        <w:rPr>
          <w:u w:val="single"/>
        </w:rPr>
        <w:t>vypouští a nahrazuje</w:t>
      </w:r>
      <w:r>
        <w:t xml:space="preserve"> se následujícím znění:</w:t>
      </w:r>
    </w:p>
    <w:p w:rsidR="00F13347" w:rsidRDefault="00AF2096">
      <w:pPr>
        <w:pStyle w:val="Zkladntext1"/>
        <w:shd w:val="clear" w:color="auto" w:fill="auto"/>
        <w:tabs>
          <w:tab w:val="left" w:pos="970"/>
        </w:tabs>
        <w:spacing w:after="0"/>
        <w:jc w:val="both"/>
      </w:pPr>
      <w:r>
        <w:rPr>
          <w:i/>
          <w:iCs/>
        </w:rPr>
        <w:t>„A2</w:t>
      </w:r>
      <w:r>
        <w:rPr>
          <w:i/>
          <w:iCs/>
        </w:rPr>
        <w:tab/>
      </w:r>
      <w:r w:rsidR="00A63DBD">
        <w:rPr>
          <w:i/>
          <w:iCs/>
        </w:rPr>
        <w:tab/>
      </w:r>
      <w:r>
        <w:rPr>
          <w:i/>
          <w:iCs/>
        </w:rPr>
        <w:t xml:space="preserve">Architektonická studie </w:t>
      </w:r>
      <w:r w:rsidR="00A63DBD">
        <w:rPr>
          <w:i/>
          <w:iCs/>
        </w:rPr>
        <w:tab/>
      </w:r>
      <w:r w:rsidR="00A63DBD">
        <w:rPr>
          <w:i/>
          <w:iCs/>
        </w:rPr>
        <w:tab/>
        <w:t xml:space="preserve">   </w:t>
      </w:r>
      <w:r>
        <w:rPr>
          <w:i/>
          <w:iCs/>
        </w:rPr>
        <w:t>do 8 týdnů od nabytí účinnosti Dodatku č. 2 ke</w:t>
      </w:r>
    </w:p>
    <w:p w:rsidR="00F13347" w:rsidRDefault="00AF2096">
      <w:pPr>
        <w:pStyle w:val="Zkladntext1"/>
        <w:shd w:val="clear" w:color="auto" w:fill="auto"/>
        <w:spacing w:after="520"/>
        <w:jc w:val="center"/>
      </w:pPr>
      <w:r>
        <w:rPr>
          <w:i/>
          <w:iCs/>
        </w:rPr>
        <w:t>Smlouvě“</w:t>
      </w:r>
    </w:p>
    <w:p w:rsidR="00F13347" w:rsidRDefault="00AF2096">
      <w:pPr>
        <w:pStyle w:val="Zkladntext1"/>
        <w:shd w:val="clear" w:color="auto" w:fill="auto"/>
        <w:ind w:firstLine="180"/>
        <w:jc w:val="both"/>
      </w:pPr>
      <w:r>
        <w:t xml:space="preserve">Z článku IV., odst. 4. 1. se </w:t>
      </w:r>
      <w:r>
        <w:rPr>
          <w:u w:val="single"/>
        </w:rPr>
        <w:t>vypouští</w:t>
      </w:r>
      <w:r>
        <w:t xml:space="preserve"> bod B a C ve znění:</w:t>
      </w:r>
    </w:p>
    <w:p w:rsidR="00F13347" w:rsidRDefault="00AF2096">
      <w:pPr>
        <w:pStyle w:val="Zkladntext1"/>
        <w:shd w:val="clear" w:color="auto" w:fill="auto"/>
        <w:spacing w:after="100"/>
        <w:ind w:firstLine="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12700</wp:posOffset>
                </wp:positionV>
                <wp:extent cx="1755775" cy="19494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„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B Koncepce rozvoje pavilonu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2.099999999999994pt;margin-top:1.pt;width:138.25pt;height:15.3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„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 Koncepce rozvoje pavilonu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12 týdnů od písemného pokynu objednatele k plnění</w:t>
      </w:r>
    </w:p>
    <w:p w:rsidR="00F13347" w:rsidRDefault="00AF2096">
      <w:pPr>
        <w:pStyle w:val="Zkladntext1"/>
        <w:shd w:val="clear" w:color="auto" w:fill="auto"/>
        <w:spacing w:after="100"/>
        <w:ind w:left="560" w:firstLine="20"/>
        <w:jc w:val="both"/>
      </w:pPr>
      <w:r>
        <w:rPr>
          <w:b/>
          <w:bCs/>
          <w:i/>
          <w:iCs/>
        </w:rPr>
        <w:t xml:space="preserve">C </w:t>
      </w:r>
      <w:r>
        <w:rPr>
          <w:b/>
          <w:bCs/>
          <w:i/>
          <w:iCs/>
        </w:rPr>
        <w:t>Dlouhodobá spolupráce na udržení jednotné koncepce pavilonu v rámci realizací výstav a budoucích úprav</w:t>
      </w:r>
    </w:p>
    <w:p w:rsidR="00A63DBD" w:rsidRDefault="00AF2096" w:rsidP="00A63DBD">
      <w:pPr>
        <w:pStyle w:val="Zkladntext1"/>
        <w:shd w:val="clear" w:color="auto" w:fill="auto"/>
        <w:spacing w:after="0" w:line="290" w:lineRule="auto"/>
        <w:ind w:left="561" w:firstLine="23"/>
        <w:rPr>
          <w:i/>
          <w:iCs/>
        </w:rPr>
      </w:pPr>
      <w:r>
        <w:rPr>
          <w:i/>
          <w:iCs/>
        </w:rPr>
        <w:t xml:space="preserve">Služba bude poskytována dlouhodobě průběžně, dle písemných pokynů objednatele k plnění. </w:t>
      </w:r>
    </w:p>
    <w:p w:rsidR="00F13347" w:rsidRDefault="00AF2096">
      <w:pPr>
        <w:pStyle w:val="Zkladntext1"/>
        <w:shd w:val="clear" w:color="auto" w:fill="auto"/>
        <w:spacing w:after="460" w:line="290" w:lineRule="auto"/>
        <w:ind w:left="560" w:firstLine="20"/>
      </w:pPr>
      <w:r>
        <w:rPr>
          <w:i/>
          <w:iCs/>
        </w:rPr>
        <w:t xml:space="preserve">Tyto služby budou účtovány podle skutečně stráveného času jejich </w:t>
      </w:r>
      <w:r>
        <w:rPr>
          <w:i/>
          <w:iCs/>
        </w:rPr>
        <w:t>poskytováním, a to za každou započatou čtvrthodinu.“</w:t>
      </w:r>
    </w:p>
    <w:p w:rsidR="00F13347" w:rsidRDefault="00AF2096">
      <w:pPr>
        <w:pStyle w:val="Nadpis10"/>
        <w:keepNext/>
        <w:keepLines/>
        <w:shd w:val="clear" w:color="auto" w:fill="auto"/>
      </w:pPr>
      <w:bookmarkStart w:id="10" w:name="bookmark10"/>
      <w:bookmarkStart w:id="11" w:name="bookmark11"/>
      <w:r>
        <w:t>V. ZMĚNA Čl. V - CENA ZA DÍLO</w:t>
      </w:r>
      <w:bookmarkEnd w:id="10"/>
      <w:bookmarkEnd w:id="11"/>
    </w:p>
    <w:p w:rsidR="00F13347" w:rsidRDefault="00AF2096">
      <w:pPr>
        <w:pStyle w:val="Zkladntext1"/>
        <w:numPr>
          <w:ilvl w:val="0"/>
          <w:numId w:val="6"/>
        </w:numPr>
        <w:shd w:val="clear" w:color="auto" w:fill="auto"/>
        <w:tabs>
          <w:tab w:val="left" w:pos="564"/>
        </w:tabs>
      </w:pPr>
      <w:r>
        <w:t xml:space="preserve">Z článku V, odst. 5.2, se </w:t>
      </w:r>
      <w:r>
        <w:rPr>
          <w:u w:val="single"/>
        </w:rPr>
        <w:t>vypouští</w:t>
      </w:r>
      <w:r>
        <w:t xml:space="preserve"> bod A1.1.2., bod B a bod C ve znění:</w:t>
      </w:r>
    </w:p>
    <w:p w:rsidR="00F13347" w:rsidRDefault="00AF2096">
      <w:pPr>
        <w:pStyle w:val="Zkladntext1"/>
        <w:shd w:val="clear" w:color="auto" w:fill="auto"/>
        <w:spacing w:after="0"/>
        <w:ind w:firstLine="560"/>
        <w:jc w:val="both"/>
      </w:pPr>
      <w:r>
        <w:rPr>
          <w:i/>
          <w:iCs/>
        </w:rPr>
        <w:t>„A1.1.2. První etapa nutných okamžitých úprav</w:t>
      </w:r>
    </w:p>
    <w:p w:rsidR="00F13347" w:rsidRDefault="00AF2096">
      <w:pPr>
        <w:pStyle w:val="Zkladntext1"/>
        <w:shd w:val="clear" w:color="auto" w:fill="auto"/>
        <w:tabs>
          <w:tab w:val="left" w:pos="7016"/>
        </w:tabs>
        <w:ind w:firstLine="560"/>
        <w:jc w:val="both"/>
      </w:pPr>
      <w:r>
        <w:rPr>
          <w:i/>
          <w:iCs/>
        </w:rPr>
        <w:t xml:space="preserve">Prováděcí projekt a zadávací dokumentace pro české </w:t>
      </w:r>
      <w:r>
        <w:rPr>
          <w:i/>
          <w:iCs/>
        </w:rPr>
        <w:t>firmy</w:t>
      </w:r>
      <w:r>
        <w:rPr>
          <w:i/>
          <w:iCs/>
        </w:rPr>
        <w:tab/>
        <w:t>150.000,-</w:t>
      </w:r>
    </w:p>
    <w:p w:rsidR="00F13347" w:rsidRDefault="00AF2096">
      <w:pPr>
        <w:pStyle w:val="Zkladntext1"/>
        <w:shd w:val="clear" w:color="auto" w:fill="auto"/>
        <w:spacing w:after="0"/>
        <w:ind w:firstLine="560"/>
        <w:jc w:val="both"/>
      </w:pPr>
      <w:r>
        <w:rPr>
          <w:b/>
          <w:bCs/>
          <w:i/>
          <w:iCs/>
        </w:rPr>
        <w:t>B Koncepce rozvoje pavilonu</w:t>
      </w:r>
    </w:p>
    <w:p w:rsidR="00F13347" w:rsidRDefault="00AF2096">
      <w:pPr>
        <w:pStyle w:val="Zkladntext1"/>
        <w:shd w:val="clear" w:color="auto" w:fill="auto"/>
        <w:ind w:firstLine="560"/>
        <w:jc w:val="both"/>
      </w:pPr>
      <w:r>
        <w:rPr>
          <w:i/>
          <w:iCs/>
        </w:rPr>
        <w:t xml:space="preserve">Vytvoření ideové, architektonické a technické koncepce </w:t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>
        <w:rPr>
          <w:i/>
          <w:iCs/>
        </w:rPr>
        <w:t>70.000,-</w:t>
      </w:r>
    </w:p>
    <w:p w:rsidR="00F13347" w:rsidRDefault="00AF2096">
      <w:pPr>
        <w:pStyle w:val="Zkladntext1"/>
        <w:shd w:val="clear" w:color="auto" w:fill="auto"/>
        <w:spacing w:after="0"/>
        <w:ind w:left="700" w:hanging="120"/>
      </w:pPr>
      <w:r>
        <w:rPr>
          <w:b/>
          <w:bCs/>
          <w:i/>
          <w:iCs/>
        </w:rPr>
        <w:t>C Dlouhodobá spolupráce na udržení jednotné koncepce pavilonu v rámci realizací výstav a budoucích úprav</w:t>
      </w:r>
    </w:p>
    <w:p w:rsidR="00F13347" w:rsidRDefault="00AF2096">
      <w:pPr>
        <w:pStyle w:val="Zkladntext1"/>
        <w:shd w:val="clear" w:color="auto" w:fill="auto"/>
        <w:spacing w:after="0"/>
        <w:ind w:firstLine="560"/>
        <w:jc w:val="both"/>
      </w:pPr>
      <w:r>
        <w:rPr>
          <w:i/>
          <w:iCs/>
        </w:rPr>
        <w:t>Dlouhodobě průběžně, dle potřeb NGP</w:t>
      </w:r>
    </w:p>
    <w:p w:rsidR="00F13347" w:rsidRDefault="00AF2096">
      <w:pPr>
        <w:pStyle w:val="Zkladntext1"/>
        <w:shd w:val="clear" w:color="auto" w:fill="auto"/>
        <w:ind w:firstLine="560"/>
        <w:jc w:val="both"/>
      </w:pPr>
      <w:r>
        <w:rPr>
          <w:i/>
          <w:iCs/>
        </w:rPr>
        <w:t xml:space="preserve">Hodinově: </w:t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 w:rsidR="00A63DBD">
        <w:rPr>
          <w:i/>
          <w:iCs/>
        </w:rPr>
        <w:tab/>
      </w:r>
      <w:r>
        <w:rPr>
          <w:i/>
          <w:iCs/>
        </w:rPr>
        <w:t>800 Kč/hod bez DPH</w:t>
      </w:r>
    </w:p>
    <w:p w:rsidR="00F13347" w:rsidRDefault="00AF2096">
      <w:pPr>
        <w:pStyle w:val="Zkladntext1"/>
        <w:shd w:val="clear" w:color="auto" w:fill="auto"/>
        <w:spacing w:after="520"/>
        <w:ind w:left="560" w:firstLine="20"/>
        <w:jc w:val="both"/>
      </w:pPr>
      <w:r>
        <w:rPr>
          <w:i/>
          <w:iCs/>
        </w:rPr>
        <w:t>Předpokládaný počet hodin bude vždy předem odsouhlasen objednatelem. Celková cena za služby architekta, které budou poskytované podle tohoto bodu C, nepřesáhne částku 1.500.000,- za období čtyř let.“</w:t>
      </w:r>
    </w:p>
    <w:p w:rsidR="00F13347" w:rsidRDefault="00AF2096">
      <w:pPr>
        <w:pStyle w:val="Zkladntext1"/>
        <w:numPr>
          <w:ilvl w:val="0"/>
          <w:numId w:val="6"/>
        </w:numPr>
        <w:shd w:val="clear" w:color="auto" w:fill="auto"/>
        <w:tabs>
          <w:tab w:val="left" w:pos="564"/>
        </w:tabs>
        <w:jc w:val="both"/>
      </w:pPr>
      <w:r>
        <w:t>Článek V, odst. 5.2., bod A</w:t>
      </w:r>
      <w:r>
        <w:t xml:space="preserve">2 se </w:t>
      </w:r>
      <w:r>
        <w:rPr>
          <w:u w:val="single"/>
        </w:rPr>
        <w:t>vypouští a nahrazuje</w:t>
      </w:r>
      <w:r>
        <w:t xml:space="preserve"> se následujícím zněním:</w:t>
      </w:r>
    </w:p>
    <w:p w:rsidR="00F13347" w:rsidRDefault="00AF2096">
      <w:pPr>
        <w:pStyle w:val="Zkladntext1"/>
        <w:shd w:val="clear" w:color="auto" w:fill="auto"/>
        <w:spacing w:after="0"/>
        <w:ind w:firstLine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1228090</wp:posOffset>
                </wp:positionH>
                <wp:positionV relativeFrom="paragraph">
                  <wp:posOffset>12700</wp:posOffset>
                </wp:positionV>
                <wp:extent cx="201295" cy="19494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A2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6.700000000000003pt;margin-top:1.pt;width:15.85pt;height:15.3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Rozšířená studie reagující na stav po havárii</w:t>
      </w:r>
    </w:p>
    <w:p w:rsidR="00F13347" w:rsidRDefault="00AF2096">
      <w:pPr>
        <w:pStyle w:val="Zkladntext1"/>
        <w:shd w:val="clear" w:color="auto" w:fill="auto"/>
        <w:ind w:left="14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25400</wp:posOffset>
                </wp:positionV>
                <wp:extent cx="588010" cy="19494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211.500,-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2.75pt;margin-top:2.pt;width:46.299999999999997pt;height:15.3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211.500,-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Architektonická studie:</w:t>
      </w:r>
      <w:r>
        <w:br w:type="page"/>
      </w:r>
    </w:p>
    <w:p w:rsidR="00F13347" w:rsidRDefault="00AF2096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2430145</wp:posOffset>
                </wp:positionH>
                <wp:positionV relativeFrom="paragraph">
                  <wp:posOffset>12700</wp:posOffset>
                </wp:positionV>
                <wp:extent cx="204470" cy="19494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3347" w:rsidRDefault="00AF20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VI.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91.34999999999999pt;margin-top:1.pt;width:16.100000000000001pt;height:15.3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2" w:name="bookmark12"/>
      <w:bookmarkStart w:id="13" w:name="bookmark13"/>
      <w:r>
        <w:t>ZMĚNA Čl. VI - PLATEBNÍ PODMÍNKY</w:t>
      </w:r>
      <w:bookmarkEnd w:id="12"/>
      <w:bookmarkEnd w:id="13"/>
    </w:p>
    <w:p w:rsidR="00F13347" w:rsidRDefault="00AF2096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jc w:val="both"/>
      </w:pPr>
      <w:r>
        <w:t xml:space="preserve">Čl. 6.1., věta první, se </w:t>
      </w:r>
      <w:r>
        <w:rPr>
          <w:u w:val="single"/>
        </w:rPr>
        <w:t>vypouští a nahrazuje</w:t>
      </w:r>
      <w:r>
        <w:t xml:space="preserve"> se následujícím zněním:</w:t>
      </w:r>
    </w:p>
    <w:p w:rsidR="00F13347" w:rsidRDefault="00AF2096">
      <w:pPr>
        <w:pStyle w:val="Zkladntext1"/>
        <w:shd w:val="clear" w:color="auto" w:fill="auto"/>
        <w:ind w:left="760"/>
        <w:jc w:val="both"/>
      </w:pPr>
      <w:r>
        <w:rPr>
          <w:i/>
          <w:iCs/>
        </w:rPr>
        <w:t>„Objednatel se zavazuje uhradit architektovi cenu za jednotlivé části díla po jeho řádném provedení a včasném předání oproti řádné faktuře do 30 dnů od jejího doručení.</w:t>
      </w:r>
      <w:r>
        <w:t>“</w:t>
      </w:r>
    </w:p>
    <w:p w:rsidR="00F13347" w:rsidRDefault="00AF2096">
      <w:pPr>
        <w:pStyle w:val="Zkladntext1"/>
        <w:shd w:val="clear" w:color="auto" w:fill="auto"/>
        <w:ind w:firstLine="760"/>
        <w:jc w:val="both"/>
      </w:pPr>
      <w:r>
        <w:t>Ostatní ustanovení čl. 6.1. zůstává beze změny.</w:t>
      </w:r>
    </w:p>
    <w:p w:rsidR="00F13347" w:rsidRDefault="00AF2096">
      <w:pPr>
        <w:pStyle w:val="Zkladntext1"/>
        <w:numPr>
          <w:ilvl w:val="0"/>
          <w:numId w:val="7"/>
        </w:numPr>
        <w:shd w:val="clear" w:color="auto" w:fill="auto"/>
        <w:tabs>
          <w:tab w:val="left" w:pos="699"/>
        </w:tabs>
        <w:jc w:val="both"/>
      </w:pPr>
      <w:r>
        <w:t xml:space="preserve">Čl. 6.5., věta první a druhá se </w:t>
      </w:r>
      <w:r>
        <w:rPr>
          <w:u w:val="single"/>
        </w:rPr>
        <w:t>vypouš</w:t>
      </w:r>
      <w:r>
        <w:rPr>
          <w:u w:val="single"/>
        </w:rPr>
        <w:t>tí a nahrazuje</w:t>
      </w:r>
      <w:r>
        <w:t xml:space="preserve"> se následujícím zněním:</w:t>
      </w:r>
    </w:p>
    <w:p w:rsidR="00F13347" w:rsidRDefault="00AF2096">
      <w:pPr>
        <w:pStyle w:val="Zkladntext1"/>
        <w:shd w:val="clear" w:color="auto" w:fill="auto"/>
        <w:ind w:left="760"/>
        <w:jc w:val="both"/>
      </w:pPr>
      <w:r>
        <w:rPr>
          <w:i/>
          <w:iCs/>
        </w:rPr>
        <w:t>„Po předání části díla dle této Smlouvy si objednatel vyhrazuje 70 pracovních dní na jejich akceptaci.“</w:t>
      </w:r>
    </w:p>
    <w:p w:rsidR="00F13347" w:rsidRDefault="00AF2096">
      <w:pPr>
        <w:pStyle w:val="Zkladntext1"/>
        <w:shd w:val="clear" w:color="auto" w:fill="auto"/>
        <w:spacing w:after="520"/>
        <w:ind w:firstLine="760"/>
        <w:jc w:val="both"/>
      </w:pPr>
      <w:r>
        <w:t>Ostatní ustanovení čl. 6.5. zůstává beze změny.</w:t>
      </w:r>
    </w:p>
    <w:p w:rsidR="00F13347" w:rsidRDefault="00AF2096">
      <w:pPr>
        <w:pStyle w:val="Nadpis10"/>
        <w:keepNext/>
        <w:keepLines/>
        <w:shd w:val="clear" w:color="auto" w:fill="auto"/>
        <w:tabs>
          <w:tab w:val="left" w:pos="699"/>
        </w:tabs>
      </w:pPr>
      <w:bookmarkStart w:id="14" w:name="bookmark14"/>
      <w:bookmarkStart w:id="15" w:name="bookmark15"/>
      <w:r>
        <w:t>VII.</w:t>
      </w:r>
      <w:r>
        <w:tab/>
        <w:t>ZMĚNA Čl. XI - ZÁVĚREČNÁ USTANOVENÍ</w:t>
      </w:r>
      <w:bookmarkEnd w:id="14"/>
      <w:bookmarkEnd w:id="15"/>
    </w:p>
    <w:p w:rsidR="00F13347" w:rsidRDefault="00AF2096">
      <w:pPr>
        <w:pStyle w:val="Zkladntext1"/>
        <w:numPr>
          <w:ilvl w:val="0"/>
          <w:numId w:val="8"/>
        </w:numPr>
        <w:shd w:val="clear" w:color="auto" w:fill="auto"/>
        <w:tabs>
          <w:tab w:val="left" w:pos="699"/>
        </w:tabs>
        <w:jc w:val="both"/>
      </w:pPr>
      <w:r>
        <w:t xml:space="preserve">Do čl. 11.8. se </w:t>
      </w:r>
      <w:r>
        <w:t>doplňuje, jako nedílná Příloha Smlouvy:</w:t>
      </w:r>
    </w:p>
    <w:p w:rsidR="00F13347" w:rsidRDefault="00AF2096">
      <w:pPr>
        <w:pStyle w:val="Zkladntext1"/>
        <w:shd w:val="clear" w:color="auto" w:fill="auto"/>
        <w:tabs>
          <w:tab w:val="left" w:pos="2106"/>
        </w:tabs>
        <w:spacing w:after="0"/>
        <w:ind w:firstLine="760"/>
        <w:jc w:val="both"/>
      </w:pPr>
      <w:r>
        <w:t>Příloha č. 4</w:t>
      </w:r>
      <w:r>
        <w:tab/>
      </w:r>
      <w:r w:rsidR="00A63DBD">
        <w:t xml:space="preserve"> </w:t>
      </w:r>
      <w:r>
        <w:t>- specifikace požadavků objednatele</w:t>
      </w:r>
    </w:p>
    <w:p w:rsidR="00F13347" w:rsidRDefault="00AF2096">
      <w:pPr>
        <w:pStyle w:val="Zkladntext1"/>
        <w:shd w:val="clear" w:color="auto" w:fill="auto"/>
        <w:spacing w:after="520"/>
        <w:ind w:left="2320" w:hanging="140"/>
        <w:jc w:val="both"/>
      </w:pPr>
      <w:r>
        <w:t>- zadávací architektonická studie, statická zpráva (vypracovaná společností MetroPlan a předaná v říjnu 2019) v italském jazyce s českým překladem, fotodokumentace (bu</w:t>
      </w:r>
      <w:r>
        <w:t>de předáno na samostatném disku po podpisu dodatku)</w:t>
      </w:r>
    </w:p>
    <w:p w:rsidR="00F13347" w:rsidRDefault="00AF2096">
      <w:pPr>
        <w:pStyle w:val="Nadpis10"/>
        <w:keepNext/>
        <w:keepLines/>
        <w:shd w:val="clear" w:color="auto" w:fill="auto"/>
      </w:pPr>
      <w:bookmarkStart w:id="16" w:name="bookmark16"/>
      <w:bookmarkStart w:id="17" w:name="bookmark17"/>
      <w:r>
        <w:t>VIII. ZÁVĚREČNÁ USTANOVENÍ</w:t>
      </w:r>
      <w:bookmarkEnd w:id="16"/>
      <w:bookmarkEnd w:id="17"/>
    </w:p>
    <w:p w:rsidR="00F13347" w:rsidRDefault="00AF2096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jc w:val="both"/>
      </w:pPr>
      <w:r>
        <w:t>Kromě výše uvedených změn zůstávají ostatní ustanovení Smlouvy beze změn.</w:t>
      </w:r>
    </w:p>
    <w:p w:rsidR="00F13347" w:rsidRDefault="00AF2096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ind w:left="760" w:hanging="760"/>
        <w:jc w:val="both"/>
      </w:pPr>
      <w:r>
        <w:t>Tento Dodatek je vyhotoven ve čtyřech shodných výtiscích v českém jazyce, přičemž každá ze smluvních st</w:t>
      </w:r>
      <w:r>
        <w:t>ran obdrží po dvou vyhotoveních. Objednatel a zhotovitel označí každou stránku Dodatku parafou.</w:t>
      </w:r>
    </w:p>
    <w:p w:rsidR="00F13347" w:rsidRDefault="00AF2096">
      <w:pPr>
        <w:pStyle w:val="Zkladntext1"/>
        <w:numPr>
          <w:ilvl w:val="0"/>
          <w:numId w:val="9"/>
        </w:numPr>
        <w:shd w:val="clear" w:color="auto" w:fill="auto"/>
        <w:tabs>
          <w:tab w:val="left" w:pos="699"/>
        </w:tabs>
        <w:ind w:left="760" w:hanging="760"/>
        <w:jc w:val="both"/>
      </w:pPr>
      <w:r>
        <w:t>Tento Dodatek nabývá platnosti dnem podpisu obou smluvních stran. Účinnosti nabývá jeho zveřejněním v registru smluv podle zákona č. 340/2015 Sb., o registru sm</w:t>
      </w:r>
      <w:r>
        <w:t>luv. Smluvní strany sjednávají, že zveřejnění Dodatku provede Objednatel. Obě strany berou na vědomí, že nebudou uveřejněny pouze ty informace, které nelze poskytnout podle předpisů upravujících svobodný přístup k informacím. Považuje- li zhotovitel někter</w:t>
      </w:r>
      <w:r>
        <w:t>é informace uvedené v tomto dodatku za informace, které nemohou být uveřejněny v registru smluv podle zákona č. 340/2015 Sb., je povinen na to objednatele současně s uzavřením tohoto dodatku písemně upozornit.</w:t>
      </w:r>
    </w:p>
    <w:p w:rsidR="00A63DBD" w:rsidRDefault="00AF2096" w:rsidP="00A63DBD">
      <w:pPr>
        <w:pStyle w:val="Zkladntext1"/>
        <w:shd w:val="clear" w:color="auto" w:fill="auto"/>
        <w:tabs>
          <w:tab w:val="left" w:leader="underscore" w:pos="2106"/>
        </w:tabs>
        <w:spacing w:line="226" w:lineRule="auto"/>
        <w:jc w:val="both"/>
        <w:rPr>
          <w:sz w:val="30"/>
          <w:szCs w:val="30"/>
        </w:rPr>
      </w:pPr>
      <w:r>
        <w:t xml:space="preserve">V Praze, dne </w:t>
      </w:r>
      <w:r>
        <w:tab/>
        <w:t xml:space="preserve"> 2021</w:t>
      </w:r>
      <w:r w:rsidR="00A63DBD">
        <w:rPr>
          <w:sz w:val="30"/>
          <w:szCs w:val="30"/>
        </w:rPr>
        <w:tab/>
      </w:r>
    </w:p>
    <w:p w:rsidR="00E56E8E" w:rsidRDefault="00E56E8E" w:rsidP="00A63DBD">
      <w:pPr>
        <w:pStyle w:val="Zkladntext1"/>
        <w:shd w:val="clear" w:color="auto" w:fill="auto"/>
        <w:tabs>
          <w:tab w:val="left" w:leader="underscore" w:pos="2106"/>
        </w:tabs>
        <w:spacing w:line="226" w:lineRule="auto"/>
        <w:jc w:val="both"/>
        <w:rPr>
          <w:sz w:val="30"/>
          <w:szCs w:val="30"/>
        </w:rPr>
      </w:pPr>
    </w:p>
    <w:p w:rsidR="00E56E8E" w:rsidRPr="00E56E8E" w:rsidRDefault="00E56E8E" w:rsidP="00E56E8E">
      <w:pPr>
        <w:pStyle w:val="Zkladntext1"/>
        <w:shd w:val="clear" w:color="auto" w:fill="auto"/>
        <w:tabs>
          <w:tab w:val="left" w:leader="underscore" w:pos="2106"/>
        </w:tabs>
        <w:spacing w:after="0" w:line="226" w:lineRule="auto"/>
        <w:jc w:val="both"/>
      </w:pPr>
      <w:r w:rsidRPr="00E56E8E">
        <w:t>_____________________</w:t>
      </w:r>
      <w:r>
        <w:t>_____</w:t>
      </w:r>
      <w:r>
        <w:tab/>
      </w:r>
      <w:r>
        <w:tab/>
      </w:r>
      <w:r>
        <w:tab/>
      </w:r>
      <w:r w:rsidRPr="00E56E8E">
        <w:t>____________________</w:t>
      </w:r>
      <w:r>
        <w:t>______</w:t>
      </w:r>
    </w:p>
    <w:p w:rsidR="00E56E8E" w:rsidRDefault="00E56E8E" w:rsidP="00E56E8E">
      <w:pPr>
        <w:pStyle w:val="Zkladntext1"/>
        <w:shd w:val="clear" w:color="auto" w:fill="auto"/>
        <w:tabs>
          <w:tab w:val="left" w:leader="underscore" w:pos="2106"/>
        </w:tabs>
        <w:spacing w:after="0" w:line="226" w:lineRule="auto"/>
        <w:jc w:val="both"/>
      </w:pPr>
      <w:r>
        <w:t xml:space="preserve">Alicja Knast                        </w:t>
      </w:r>
      <w:r>
        <w:tab/>
      </w:r>
      <w:r>
        <w:tab/>
      </w:r>
      <w:r>
        <w:tab/>
      </w:r>
      <w:r>
        <w:tab/>
        <w:t>Doc. Ing. Arch. Miroslav Cikán</w:t>
      </w:r>
    </w:p>
    <w:p w:rsidR="00E56E8E" w:rsidRPr="00E56E8E" w:rsidRDefault="00E56E8E" w:rsidP="00A63DBD">
      <w:pPr>
        <w:pStyle w:val="Zkladntext1"/>
        <w:shd w:val="clear" w:color="auto" w:fill="auto"/>
        <w:tabs>
          <w:tab w:val="left" w:leader="underscore" w:pos="2106"/>
        </w:tabs>
        <w:spacing w:line="226" w:lineRule="auto"/>
        <w:jc w:val="both"/>
        <w:rPr>
          <w:b/>
        </w:rPr>
      </w:pPr>
      <w:r w:rsidRPr="00E56E8E">
        <w:rPr>
          <w:b/>
        </w:rPr>
        <w:t>Národní galerie v</w:t>
      </w:r>
      <w:r>
        <w:rPr>
          <w:b/>
        </w:rPr>
        <w:t> </w:t>
      </w:r>
      <w:r w:rsidRPr="00E56E8E">
        <w:rPr>
          <w:b/>
        </w:rPr>
        <w:t>Praze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MCA atelier s.r.o.</w:t>
      </w:r>
    </w:p>
    <w:p w:rsidR="00E56E8E" w:rsidRPr="00A63DBD" w:rsidRDefault="00E56E8E" w:rsidP="00A63DBD">
      <w:pPr>
        <w:pStyle w:val="Zkladntext1"/>
        <w:shd w:val="clear" w:color="auto" w:fill="auto"/>
        <w:tabs>
          <w:tab w:val="left" w:leader="underscore" w:pos="2106"/>
        </w:tabs>
        <w:spacing w:line="226" w:lineRule="auto"/>
        <w:jc w:val="both"/>
      </w:pPr>
      <w:bookmarkStart w:id="18" w:name="_GoBack"/>
      <w:bookmarkEnd w:id="18"/>
    </w:p>
    <w:p w:rsidR="00E56E8E" w:rsidRDefault="00E56E8E">
      <w:pPr>
        <w:pStyle w:val="Zkladntext1"/>
        <w:shd w:val="clear" w:color="auto" w:fill="auto"/>
        <w:tabs>
          <w:tab w:val="left" w:pos="1757"/>
        </w:tabs>
        <w:spacing w:after="0" w:line="182" w:lineRule="auto"/>
        <w:ind w:firstLine="1800"/>
        <w:jc w:val="both"/>
        <w:rPr>
          <w:sz w:val="30"/>
          <w:szCs w:val="30"/>
        </w:rPr>
      </w:pPr>
    </w:p>
    <w:p w:rsidR="00F13347" w:rsidRDefault="00AF2096">
      <w:pPr>
        <w:pStyle w:val="Nadpis10"/>
        <w:keepNext/>
        <w:keepLines/>
        <w:shd w:val="clear" w:color="auto" w:fill="auto"/>
        <w:jc w:val="left"/>
      </w:pPr>
      <w:bookmarkStart w:id="19" w:name="bookmark18"/>
      <w:bookmarkStart w:id="20" w:name="bookmark19"/>
      <w:r>
        <w:t>Příloha č. 1. Specifikace požadavků objednatele</w:t>
      </w:r>
      <w:bookmarkEnd w:id="19"/>
      <w:bookmarkEnd w:id="20"/>
    </w:p>
    <w:p w:rsidR="00F13347" w:rsidRDefault="00AF2096">
      <w:pPr>
        <w:pStyle w:val="Zkladntext1"/>
        <w:numPr>
          <w:ilvl w:val="0"/>
          <w:numId w:val="10"/>
        </w:numPr>
        <w:shd w:val="clear" w:color="auto" w:fill="auto"/>
        <w:tabs>
          <w:tab w:val="left" w:pos="724"/>
        </w:tabs>
        <w:spacing w:after="0"/>
        <w:ind w:firstLine="380"/>
      </w:pPr>
      <w:r>
        <w:t>Studie bude řešit objekt jako celek bez částí řešených v A1 a A1.2</w:t>
      </w:r>
    </w:p>
    <w:p w:rsidR="00F13347" w:rsidRDefault="00AF2096">
      <w:pPr>
        <w:pStyle w:val="Zkladntext1"/>
        <w:numPr>
          <w:ilvl w:val="0"/>
          <w:numId w:val="10"/>
        </w:numPr>
        <w:shd w:val="clear" w:color="auto" w:fill="auto"/>
        <w:tabs>
          <w:tab w:val="left" w:pos="729"/>
        </w:tabs>
        <w:spacing w:after="0"/>
        <w:ind w:firstLine="380"/>
      </w:pPr>
      <w:r>
        <w:t xml:space="preserve">Bude </w:t>
      </w:r>
      <w:r>
        <w:t>obsahovat návrh širší rekonstrukce poškozeného světlíku a původního zastřešení včetně</w:t>
      </w:r>
    </w:p>
    <w:p w:rsidR="00F13347" w:rsidRDefault="00AF2096">
      <w:pPr>
        <w:pStyle w:val="Zkladntext1"/>
        <w:shd w:val="clear" w:color="auto" w:fill="auto"/>
        <w:spacing w:after="0"/>
        <w:ind w:left="1100"/>
      </w:pPr>
      <w:r>
        <w:t>navazujících konstrukcí střechy, stropu a opravy stěn</w:t>
      </w:r>
    </w:p>
    <w:p w:rsidR="00F13347" w:rsidRDefault="00AF2096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0"/>
        <w:ind w:firstLine="380"/>
      </w:pPr>
      <w:r>
        <w:t>Studie bude řešit vnitřní a vnější stranu konstrukce a pláště objektu se zohledněním staticko-</w:t>
      </w:r>
    </w:p>
    <w:p w:rsidR="00F13347" w:rsidRDefault="00AF2096">
      <w:pPr>
        <w:pStyle w:val="Zkladntext1"/>
        <w:shd w:val="clear" w:color="auto" w:fill="auto"/>
        <w:spacing w:after="0"/>
        <w:ind w:left="1100"/>
      </w:pPr>
      <w:r>
        <w:t>konstrukčních zásad s</w:t>
      </w:r>
      <w:r>
        <w:t>oučasných norem</w:t>
      </w:r>
    </w:p>
    <w:p w:rsidR="00F13347" w:rsidRDefault="00AF2096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0"/>
        <w:ind w:firstLine="380"/>
      </w:pPr>
      <w:r>
        <w:t>Bude obsahovat přepracovaný koncept zastínění s ohledem na novou konstrukci světlíku</w:t>
      </w:r>
    </w:p>
    <w:p w:rsidR="00F13347" w:rsidRDefault="00AF2096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0"/>
        <w:ind w:firstLine="380"/>
      </w:pPr>
      <w:r>
        <w:t>Bude navržena oprava podlahy včetně návrhu přípravy pro multimédia a zajištění flexibilních</w:t>
      </w:r>
    </w:p>
    <w:p w:rsidR="00F13347" w:rsidRDefault="00AF2096">
      <w:pPr>
        <w:pStyle w:val="Zkladntext1"/>
        <w:shd w:val="clear" w:color="auto" w:fill="auto"/>
        <w:spacing w:after="0"/>
        <w:ind w:left="1100"/>
      </w:pPr>
      <w:r>
        <w:t xml:space="preserve">prostorových rezerv pro variabilní technologie expozic a s tím </w:t>
      </w:r>
      <w:r>
        <w:t>související návrh konceptu pevné technické infrastruktury, slabo a silno proud a cílový koncept osvětlení</w:t>
      </w:r>
    </w:p>
    <w:sectPr w:rsidR="00F13347">
      <w:pgSz w:w="11900" w:h="16840"/>
      <w:pgMar w:top="1418" w:right="1382" w:bottom="1221" w:left="1264" w:header="990" w:footer="7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96" w:rsidRDefault="00AF2096">
      <w:r>
        <w:separator/>
      </w:r>
    </w:p>
  </w:endnote>
  <w:endnote w:type="continuationSeparator" w:id="0">
    <w:p w:rsidR="00AF2096" w:rsidRDefault="00AF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96" w:rsidRDefault="00AF2096"/>
  </w:footnote>
  <w:footnote w:type="continuationSeparator" w:id="0">
    <w:p w:rsidR="00AF2096" w:rsidRDefault="00AF20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2B37"/>
    <w:multiLevelType w:val="multilevel"/>
    <w:tmpl w:val="326CD2EE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F0EAE"/>
    <w:multiLevelType w:val="multilevel"/>
    <w:tmpl w:val="C0A6229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2803AE"/>
    <w:multiLevelType w:val="multilevel"/>
    <w:tmpl w:val="CAB63202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A6710"/>
    <w:multiLevelType w:val="multilevel"/>
    <w:tmpl w:val="4904A508"/>
    <w:lvl w:ilvl="0">
      <w:start w:val="1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F979DF"/>
    <w:multiLevelType w:val="multilevel"/>
    <w:tmpl w:val="737A939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EE1E07"/>
    <w:multiLevelType w:val="multilevel"/>
    <w:tmpl w:val="7324B1C8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8D0B1B"/>
    <w:multiLevelType w:val="multilevel"/>
    <w:tmpl w:val="650CFC72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1182C"/>
    <w:multiLevelType w:val="multilevel"/>
    <w:tmpl w:val="05B09656"/>
    <w:lvl w:ilvl="0">
      <w:start w:val="1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010E18"/>
    <w:multiLevelType w:val="multilevel"/>
    <w:tmpl w:val="B64AB910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E5363F"/>
    <w:multiLevelType w:val="multilevel"/>
    <w:tmpl w:val="A25AF3AA"/>
    <w:lvl w:ilvl="0">
      <w:start w:val="1"/>
      <w:numFmt w:val="decimal"/>
      <w:lvlText w:val="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7"/>
    <w:rsid w:val="00A63DBD"/>
    <w:rsid w:val="00AC4376"/>
    <w:rsid w:val="00AF2096"/>
    <w:rsid w:val="00E2166A"/>
    <w:rsid w:val="00E56E8E"/>
    <w:rsid w:val="00F1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619C"/>
  <w15:docId w15:val="{C6E40779-1CA5-41BB-AB5C-F8A5721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orbel" w:eastAsia="Corbel" w:hAnsi="Corbel" w:cs="Corbe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</w:pPr>
    <w:rPr>
      <w:rFonts w:ascii="Arial" w:eastAsia="Arial" w:hAnsi="Arial" w:cs="Arial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1478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kopirka1.PK-20181211151228</vt:lpstr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kopirka1.PK-20181211151228</dc:title>
  <dc:subject/>
  <dc:creator>Barbora Bumanová</dc:creator>
  <cp:keywords/>
  <cp:lastModifiedBy>Zdenka Šímová</cp:lastModifiedBy>
  <cp:revision>4</cp:revision>
  <dcterms:created xsi:type="dcterms:W3CDTF">2021-07-12T11:15:00Z</dcterms:created>
  <dcterms:modified xsi:type="dcterms:W3CDTF">2021-07-12T11:29:00Z</dcterms:modified>
</cp:coreProperties>
</file>