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60" w:rsidRDefault="00CB6499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paragraph">
                  <wp:posOffset>7932420</wp:posOffset>
                </wp:positionV>
                <wp:extent cx="1520190" cy="43878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0760" w:rsidRDefault="00CB6499">
                            <w:pPr>
                              <w:pStyle w:val="Zkladntext1"/>
                              <w:shd w:val="clear" w:color="auto" w:fill="auto"/>
                              <w:spacing w:after="100" w:line="240" w:lineRule="auto"/>
                            </w:pPr>
                            <w:r>
                              <w:t>Odsouhlasil:</w:t>
                            </w:r>
                          </w:p>
                          <w:p w:rsidR="00B70760" w:rsidRDefault="00CB6499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color w:val="383D65"/>
                              </w:rPr>
                              <w:t>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3.8pt;margin-top:624.6pt;width:119.7pt;height:34.5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" filled="f" stroked="f">
                <v:textbox style="mso-fit-shape-to-text:t" inset="0,0,0,0">
                  <w:txbxContent>
                    <w:p w:rsidR="00B70760" w:rsidRDefault="00CB6499">
                      <w:pPr>
                        <w:pStyle w:val="Zkladntext1"/>
                        <w:shd w:val="clear" w:color="auto" w:fill="auto"/>
                        <w:spacing w:after="100" w:line="240" w:lineRule="auto"/>
                      </w:pPr>
                      <w:r>
                        <w:t>Odsouhlasil:</w:t>
                      </w:r>
                    </w:p>
                    <w:p w:rsidR="00B70760" w:rsidRDefault="00CB6499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rPr>
                          <w:color w:val="383D65"/>
                        </w:rPr>
                        <w:t>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B70760" w:rsidRDefault="00CB6499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r>
        <w:t>Změnový list stavby č. 1</w:t>
      </w:r>
      <w:bookmarkEnd w:id="0"/>
    </w:p>
    <w:p w:rsidR="00B70760" w:rsidRDefault="00CB6499">
      <w:pPr>
        <w:pStyle w:val="Nadpis20"/>
        <w:keepNext/>
        <w:keepLines/>
        <w:shd w:val="clear" w:color="auto" w:fill="auto"/>
      </w:pPr>
      <w:bookmarkStart w:id="1" w:name="bookmark1"/>
      <w:r>
        <w:t>Název stavby:</w:t>
      </w:r>
      <w:bookmarkEnd w:id="1"/>
    </w:p>
    <w:p w:rsidR="00B70760" w:rsidRDefault="00CB6499">
      <w:pPr>
        <w:pStyle w:val="Zkladntext1"/>
        <w:shd w:val="clear" w:color="auto" w:fill="auto"/>
        <w:spacing w:after="280"/>
        <w:ind w:right="960"/>
      </w:pPr>
      <w:r>
        <w:t xml:space="preserve">Sanace střech objektu areálu Náš svět, </w:t>
      </w:r>
      <w:proofErr w:type="spellStart"/>
      <w:r>
        <w:t>p.o</w:t>
      </w:r>
      <w:proofErr w:type="spellEnd"/>
      <w:r>
        <w:t>. Pržno SO 03 - Domov u zvonu</w:t>
      </w:r>
    </w:p>
    <w:p w:rsidR="00B70760" w:rsidRDefault="00CB6499">
      <w:pPr>
        <w:pStyle w:val="Nadpis20"/>
        <w:keepNext/>
        <w:keepLines/>
        <w:shd w:val="clear" w:color="auto" w:fill="auto"/>
      </w:pPr>
      <w:bookmarkStart w:id="2" w:name="bookmark2"/>
      <w:r>
        <w:t>Objednatel:</w:t>
      </w:r>
      <w:bookmarkEnd w:id="2"/>
    </w:p>
    <w:p w:rsidR="00B70760" w:rsidRDefault="00CB6499">
      <w:pPr>
        <w:pStyle w:val="Zkladntext1"/>
        <w:shd w:val="clear" w:color="auto" w:fill="auto"/>
        <w:spacing w:after="280"/>
        <w:ind w:right="960"/>
      </w:pPr>
      <w:r>
        <w:t>Náš svět, příspěvková</w:t>
      </w:r>
      <w:r>
        <w:t xml:space="preserve"> organizace Pržno 239, 739 11 Pržno</w:t>
      </w:r>
    </w:p>
    <w:p w:rsidR="00B70760" w:rsidRDefault="00CB6499">
      <w:pPr>
        <w:pStyle w:val="Nadpis20"/>
        <w:keepNext/>
        <w:keepLines/>
        <w:shd w:val="clear" w:color="auto" w:fill="auto"/>
      </w:pPr>
      <w:bookmarkStart w:id="3" w:name="bookmark3"/>
      <w:r>
        <w:t>Zhotovitel:</w:t>
      </w:r>
      <w:bookmarkEnd w:id="3"/>
    </w:p>
    <w:p w:rsidR="00B70760" w:rsidRDefault="00CB6499">
      <w:pPr>
        <w:pStyle w:val="Zkladntext1"/>
        <w:shd w:val="clear" w:color="auto" w:fill="auto"/>
        <w:spacing w:after="0"/>
      </w:pPr>
      <w:r>
        <w:t>TB MONT Morava s.r.o.</w:t>
      </w:r>
    </w:p>
    <w:p w:rsidR="00B70760" w:rsidRDefault="00CB6499">
      <w:pPr>
        <w:pStyle w:val="Zkladntext1"/>
        <w:shd w:val="clear" w:color="auto" w:fill="auto"/>
        <w:spacing w:after="280"/>
      </w:pPr>
      <w:r>
        <w:t>Bruzovice 231</w:t>
      </w:r>
    </w:p>
    <w:p w:rsidR="00B70760" w:rsidRDefault="00CB6499">
      <w:pPr>
        <w:pStyle w:val="Nadpis20"/>
        <w:keepNext/>
        <w:keepLines/>
        <w:shd w:val="clear" w:color="auto" w:fill="auto"/>
      </w:pPr>
      <w:bookmarkStart w:id="4" w:name="bookmark4"/>
      <w:r>
        <w:t>Projektant:</w:t>
      </w:r>
      <w:bookmarkEnd w:id="4"/>
    </w:p>
    <w:p w:rsidR="00B70760" w:rsidRDefault="00CB6499">
      <w:pPr>
        <w:pStyle w:val="Zkladntext1"/>
        <w:shd w:val="clear" w:color="auto" w:fill="auto"/>
        <w:spacing w:after="580"/>
      </w:pPr>
      <w:r>
        <w:t>Projekt 2010 s.r.o.</w:t>
      </w:r>
    </w:p>
    <w:p w:rsidR="00B70760" w:rsidRDefault="00CB6499">
      <w:pPr>
        <w:pStyle w:val="Nadpis20"/>
        <w:keepNext/>
        <w:keepLines/>
        <w:shd w:val="clear" w:color="auto" w:fill="auto"/>
      </w:pPr>
      <w:bookmarkStart w:id="5" w:name="bookmark5"/>
      <w:r>
        <w:t>Popis a zdůvodnění změny:</w:t>
      </w:r>
      <w:bookmarkEnd w:id="5"/>
    </w:p>
    <w:p w:rsidR="00B70760" w:rsidRDefault="00CB6499">
      <w:pPr>
        <w:pStyle w:val="Zkladntext1"/>
        <w:shd w:val="clear" w:color="auto" w:fill="auto"/>
        <w:spacing w:after="0"/>
      </w:pPr>
      <w:r>
        <w:t>1/ Hromosvody</w:t>
      </w:r>
    </w:p>
    <w:p w:rsidR="00B70760" w:rsidRDefault="00CB6499">
      <w:pPr>
        <w:pStyle w:val="Zkladntext1"/>
        <w:shd w:val="clear" w:color="auto" w:fill="auto"/>
        <w:spacing w:after="0"/>
      </w:pPr>
      <w:r>
        <w:t>Uzemnění stávajících hromosvodů nebylo provedeno dle PD. Muselo být provedeno nové uzemnění.</w:t>
      </w:r>
    </w:p>
    <w:p w:rsidR="00B70760" w:rsidRDefault="00CB6499">
      <w:pPr>
        <w:pStyle w:val="Zkladntext1"/>
        <w:shd w:val="clear" w:color="auto" w:fill="auto"/>
        <w:spacing w:after="40"/>
      </w:pPr>
      <w:r>
        <w:t xml:space="preserve">2/ </w:t>
      </w:r>
      <w:r>
        <w:t>Tesařské k-</w:t>
      </w:r>
      <w:proofErr w:type="spellStart"/>
      <w:r>
        <w:t>ce</w:t>
      </w:r>
      <w:proofErr w:type="spellEnd"/>
    </w:p>
    <w:p w:rsidR="00B70760" w:rsidRDefault="00CB6499">
      <w:pPr>
        <w:pStyle w:val="Zkladntext1"/>
        <w:shd w:val="clear" w:color="auto" w:fill="auto"/>
        <w:spacing w:after="0"/>
      </w:pPr>
      <w:r>
        <w:t>Neprovedlo se lokální vybednění otvorů ve střeše, nebylo zapotřebí.</w:t>
      </w:r>
    </w:p>
    <w:p w:rsidR="00B70760" w:rsidRDefault="00CB6499">
      <w:pPr>
        <w:pStyle w:val="Zkladntext1"/>
        <w:shd w:val="clear" w:color="auto" w:fill="auto"/>
        <w:spacing w:after="280"/>
      </w:pPr>
      <w:r>
        <w:t>3/ Klempířské k-</w:t>
      </w:r>
      <w:proofErr w:type="spellStart"/>
      <w:r>
        <w:t>ce</w:t>
      </w:r>
      <w:proofErr w:type="spellEnd"/>
    </w:p>
    <w:p w:rsidR="00B70760" w:rsidRDefault="00CB6499">
      <w:pPr>
        <w:pStyle w:val="Zkladntext1"/>
        <w:shd w:val="clear" w:color="auto" w:fill="auto"/>
        <w:spacing w:after="0"/>
      </w:pPr>
      <w:r>
        <w:t xml:space="preserve">Z důvodu sjednocení vzhledu s ostatními budovami byly na žádost investora stávající </w:t>
      </w:r>
      <w:proofErr w:type="spellStart"/>
      <w:r>
        <w:t>TTz</w:t>
      </w:r>
      <w:proofErr w:type="spellEnd"/>
      <w:r>
        <w:t xml:space="preserve"> žlaby opět namontovány k nové krytině, chybějící a poškozené díly b</w:t>
      </w:r>
      <w:r>
        <w:t>yly vyměněny za nové. 4/ Dřevěné obklady</w:t>
      </w:r>
    </w:p>
    <w:p w:rsidR="00B70760" w:rsidRDefault="00CB6499">
      <w:pPr>
        <w:pStyle w:val="Zkladntext1"/>
        <w:shd w:val="clear" w:color="auto" w:fill="auto"/>
        <w:spacing w:after="580"/>
      </w:pPr>
      <w:r>
        <w:t>Dřevěné podhledy byly napadeny hnilobou a bylo nutné je částečně vyměnit.</w:t>
      </w:r>
    </w:p>
    <w:p w:rsidR="00B70760" w:rsidRDefault="00CB6499">
      <w:pPr>
        <w:pStyle w:val="Zkladntext1"/>
        <w:shd w:val="clear" w:color="auto" w:fill="auto"/>
        <w:spacing w:after="280"/>
      </w:pPr>
      <w:r>
        <w:t xml:space="preserve">Podrobné vyčíslení je v příloze změnového </w:t>
      </w:r>
      <w:proofErr w:type="gramStart"/>
      <w:r>
        <w:t>listu - Soupis</w:t>
      </w:r>
      <w:proofErr w:type="gramEnd"/>
      <w:r>
        <w:t xml:space="preserve"> víceprací a </w:t>
      </w:r>
      <w:proofErr w:type="spellStart"/>
      <w:r>
        <w:t>méněprací</w:t>
      </w:r>
      <w:proofErr w:type="spellEnd"/>
      <w:r>
        <w:t>.</w:t>
      </w:r>
    </w:p>
    <w:p w:rsidR="00B70760" w:rsidRDefault="00CB6499">
      <w:pPr>
        <w:pStyle w:val="Zkladntext1"/>
        <w:shd w:val="clear" w:color="auto" w:fill="auto"/>
        <w:tabs>
          <w:tab w:val="left" w:pos="4061"/>
        </w:tabs>
        <w:spacing w:after="0"/>
        <w:jc w:val="both"/>
      </w:pPr>
      <w:r>
        <w:t xml:space="preserve">Časový vliv na plnění </w:t>
      </w:r>
      <w:proofErr w:type="spellStart"/>
      <w:r>
        <w:t>SoD</w:t>
      </w:r>
      <w:proofErr w:type="spellEnd"/>
      <w:r>
        <w:tab/>
        <w:t>NENÍ</w:t>
      </w:r>
    </w:p>
    <w:p w:rsidR="00B70760" w:rsidRDefault="00CB6499">
      <w:pPr>
        <w:pStyle w:val="Zkladntext1"/>
        <w:shd w:val="clear" w:color="auto" w:fill="auto"/>
        <w:tabs>
          <w:tab w:val="left" w:pos="4061"/>
        </w:tabs>
        <w:spacing w:after="280"/>
        <w:jc w:val="both"/>
      </w:pPr>
      <w:r>
        <w:t>Finanční vliv</w:t>
      </w:r>
      <w:r>
        <w:tab/>
        <w:t>ANO</w:t>
      </w:r>
    </w:p>
    <w:p w:rsidR="00B70760" w:rsidRDefault="00CB6499">
      <w:pPr>
        <w:pStyle w:val="Zkladntext1"/>
        <w:shd w:val="clear" w:color="auto" w:fill="auto"/>
        <w:spacing w:after="1080" w:line="257" w:lineRule="auto"/>
      </w:pPr>
      <w:r>
        <w:t>Vypracoval: XXX</w:t>
      </w:r>
      <w:bookmarkStart w:id="6" w:name="_GoBack"/>
      <w:bookmarkEnd w:id="6"/>
    </w:p>
    <w:sectPr w:rsidR="00B70760">
      <w:pgSz w:w="11900" w:h="16840"/>
      <w:pgMar w:top="1213" w:right="2645" w:bottom="667" w:left="1069" w:header="785" w:footer="2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B6499">
      <w:r>
        <w:separator/>
      </w:r>
    </w:p>
  </w:endnote>
  <w:endnote w:type="continuationSeparator" w:id="0">
    <w:p w:rsidR="00000000" w:rsidRDefault="00CB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760" w:rsidRDefault="00B70760"/>
  </w:footnote>
  <w:footnote w:type="continuationSeparator" w:id="0">
    <w:p w:rsidR="00B70760" w:rsidRDefault="00B707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60"/>
    <w:rsid w:val="00B70760"/>
    <w:rsid w:val="00CB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E392"/>
  <w15:docId w15:val="{FFE7A5D4-6584-4BAC-9AAE-86A4224C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9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jc w:val="center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9" w:lineRule="auto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 w:line="254" w:lineRule="auto"/>
      <w:ind w:left="1440" w:right="2100" w:firstLine="280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Renáta Partilová</cp:lastModifiedBy>
  <cp:revision>2</cp:revision>
  <dcterms:created xsi:type="dcterms:W3CDTF">2021-07-12T08:55:00Z</dcterms:created>
  <dcterms:modified xsi:type="dcterms:W3CDTF">2021-07-12T08:57:00Z</dcterms:modified>
</cp:coreProperties>
</file>