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B8" w:rsidRDefault="00700C6C">
      <w:pPr>
        <w:pStyle w:val="Nzev"/>
        <w:spacing w:before="80"/>
        <w:ind w:left="3283" w:right="3148"/>
      </w:pPr>
      <w:r>
        <w:rPr>
          <w:color w:val="808080"/>
        </w:rPr>
        <w:t>Smlouva č. 1190500040 o poskytnutí podpory</w:t>
      </w:r>
    </w:p>
    <w:p w:rsidR="00B311B8" w:rsidRDefault="00700C6C">
      <w:pPr>
        <w:pStyle w:val="Nzev"/>
      </w:pPr>
      <w:r>
        <w:rPr>
          <w:color w:val="808080"/>
        </w:rPr>
        <w:t>ze Státního fondu životního prostředí České republiky</w:t>
      </w:r>
    </w:p>
    <w:p w:rsidR="00B311B8" w:rsidRDefault="00B311B8">
      <w:pPr>
        <w:pStyle w:val="Zkladntext"/>
        <w:spacing w:before="11"/>
        <w:ind w:left="0" w:firstLine="0"/>
        <w:jc w:val="left"/>
        <w:rPr>
          <w:sz w:val="59"/>
        </w:rPr>
      </w:pPr>
    </w:p>
    <w:p w:rsidR="00B311B8" w:rsidRDefault="00700C6C">
      <w:pPr>
        <w:pStyle w:val="Zkladntext"/>
        <w:ind w:left="242" w:firstLine="0"/>
        <w:jc w:val="left"/>
      </w:pPr>
      <w:r>
        <w:t>Smluvní strany</w:t>
      </w: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700C6C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B311B8" w:rsidRDefault="00700C6C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B311B8" w:rsidRDefault="00700C6C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B311B8" w:rsidRDefault="00700C6C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B311B8" w:rsidRDefault="00700C6C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B311B8" w:rsidRDefault="00700C6C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B311B8" w:rsidRDefault="00700C6C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B311B8" w:rsidRDefault="00B311B8">
      <w:pPr>
        <w:pStyle w:val="Zkladntext"/>
        <w:spacing w:before="12"/>
        <w:ind w:left="0" w:firstLine="0"/>
        <w:jc w:val="left"/>
        <w:rPr>
          <w:sz w:val="19"/>
        </w:rPr>
      </w:pPr>
    </w:p>
    <w:p w:rsidR="00B311B8" w:rsidRDefault="00700C6C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B311B8" w:rsidRDefault="00B311B8">
      <w:pPr>
        <w:pStyle w:val="Zkladntext"/>
        <w:spacing w:before="1"/>
        <w:ind w:left="0" w:firstLine="0"/>
        <w:jc w:val="left"/>
      </w:pPr>
    </w:p>
    <w:p w:rsidR="00B311B8" w:rsidRDefault="00700C6C">
      <w:pPr>
        <w:pStyle w:val="Nadpis1"/>
        <w:ind w:right="0"/>
        <w:jc w:val="left"/>
      </w:pPr>
      <w:r>
        <w:t>obec Francova Lhota</w:t>
      </w:r>
    </w:p>
    <w:p w:rsidR="00B311B8" w:rsidRDefault="00700C6C">
      <w:pPr>
        <w:pStyle w:val="Zkladntext"/>
        <w:tabs>
          <w:tab w:val="left" w:pos="3122"/>
        </w:tabs>
        <w:ind w:left="242" w:right="259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Francova Lhota, Francova Lhota 325, 756 14 Francova Lhota IČO:</w:t>
      </w:r>
      <w:r>
        <w:tab/>
        <w:t>00303755</w:t>
      </w:r>
    </w:p>
    <w:p w:rsidR="00B311B8" w:rsidRDefault="00700C6C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zastoupená:</w:t>
      </w:r>
      <w:r>
        <w:tab/>
        <w:t>Miroslavem B r l i c o u,</w:t>
      </w:r>
      <w:r>
        <w:rPr>
          <w:spacing w:val="-4"/>
        </w:rPr>
        <w:t xml:space="preserve"> </w:t>
      </w:r>
      <w:r>
        <w:t>starostou</w:t>
      </w:r>
    </w:p>
    <w:p w:rsidR="00B311B8" w:rsidRPr="00A372CB" w:rsidRDefault="00700C6C">
      <w:pPr>
        <w:pStyle w:val="Zkladntext"/>
        <w:tabs>
          <w:tab w:val="left" w:pos="3122"/>
        </w:tabs>
        <w:spacing w:line="265" w:lineRule="exact"/>
        <w:ind w:left="242" w:firstLine="0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372CB" w:rsidRPr="00A372CB">
        <w:rPr>
          <w:highlight w:val="yellow"/>
        </w:rPr>
        <w:t>xxxx</w:t>
      </w:r>
    </w:p>
    <w:p w:rsidR="00A372CB" w:rsidRDefault="00700C6C">
      <w:pPr>
        <w:pStyle w:val="Zkladntext"/>
        <w:tabs>
          <w:tab w:val="left" w:pos="3122"/>
        </w:tabs>
        <w:spacing w:before="1"/>
        <w:ind w:left="242" w:right="5186" w:firstLine="0"/>
        <w:jc w:val="left"/>
        <w:rPr>
          <w:spacing w:val="-1"/>
        </w:rPr>
      </w:pPr>
      <w:bookmarkStart w:id="0" w:name="_GoBack"/>
      <w:bookmarkEnd w:id="0"/>
      <w:r w:rsidRPr="00A372CB">
        <w:t>číslo</w:t>
      </w:r>
      <w:r w:rsidRPr="00A372CB">
        <w:rPr>
          <w:spacing w:val="-2"/>
        </w:rPr>
        <w:t xml:space="preserve"> </w:t>
      </w:r>
      <w:r w:rsidRPr="00A372CB">
        <w:t>účtu:</w:t>
      </w:r>
      <w:r w:rsidRPr="00A372CB">
        <w:tab/>
      </w:r>
      <w:r w:rsidR="00A372CB" w:rsidRPr="00A372CB">
        <w:rPr>
          <w:spacing w:val="-1"/>
          <w:highlight w:val="yellow"/>
        </w:rPr>
        <w:t>xxxx</w:t>
      </w:r>
    </w:p>
    <w:p w:rsidR="00B311B8" w:rsidRDefault="00700C6C">
      <w:pPr>
        <w:pStyle w:val="Zkladntext"/>
        <w:tabs>
          <w:tab w:val="left" w:pos="3122"/>
        </w:tabs>
        <w:spacing w:before="1"/>
        <w:ind w:left="242" w:right="5186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700C6C">
      <w:pPr>
        <w:pStyle w:val="Zkladntext"/>
        <w:spacing w:before="188"/>
        <w:ind w:left="242" w:firstLine="0"/>
        <w:jc w:val="left"/>
      </w:pPr>
      <w:r>
        <w:t>se dohodly takto:</w:t>
      </w:r>
    </w:p>
    <w:p w:rsidR="00B311B8" w:rsidRDefault="00B311B8">
      <w:pPr>
        <w:pStyle w:val="Zkladntext"/>
        <w:spacing w:before="12"/>
        <w:ind w:left="0" w:firstLine="0"/>
        <w:jc w:val="left"/>
        <w:rPr>
          <w:sz w:val="35"/>
        </w:rPr>
      </w:pPr>
    </w:p>
    <w:p w:rsidR="00B311B8" w:rsidRDefault="00700C6C">
      <w:pPr>
        <w:pStyle w:val="Nadpis1"/>
        <w:ind w:left="3276"/>
      </w:pPr>
      <w:r>
        <w:t>I.</w:t>
      </w:r>
    </w:p>
    <w:p w:rsidR="00B311B8" w:rsidRDefault="00700C6C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B311B8" w:rsidRDefault="00B311B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311B8" w:rsidRDefault="00700C6C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311B8" w:rsidRDefault="00700C6C">
      <w:pPr>
        <w:pStyle w:val="Zkladntext"/>
        <w:spacing w:before="1"/>
        <w:ind w:right="111" w:firstLine="0"/>
      </w:pPr>
      <w:r>
        <w:t>„Smlouva“) se uzavírá na základě Rozhodnutí ministra životního prostředí č. 1190500040 o poskytnutí 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B311B8" w:rsidRDefault="00700C6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5/2019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B311B8" w:rsidRDefault="00B311B8">
      <w:pPr>
        <w:jc w:val="both"/>
        <w:rPr>
          <w:sz w:val="20"/>
        </w:rPr>
        <w:sectPr w:rsidR="00B311B8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B311B8" w:rsidRDefault="00700C6C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B311B8" w:rsidRDefault="00700C6C">
      <w:pPr>
        <w:pStyle w:val="Nadpis1"/>
        <w:spacing w:before="120"/>
        <w:ind w:left="2082" w:right="0"/>
        <w:jc w:val="left"/>
      </w:pPr>
      <w:r>
        <w:t>„Obnova soustavy veřejného osvětlení Obec Francova Lhota“</w:t>
      </w:r>
    </w:p>
    <w:p w:rsidR="00B311B8" w:rsidRDefault="00700C6C">
      <w:pPr>
        <w:pStyle w:val="Zkladntext"/>
        <w:spacing w:before="121"/>
        <w:ind w:firstLine="0"/>
        <w:jc w:val="left"/>
      </w:pPr>
      <w:r>
        <w:t>(dále jen „projekt“ nebo „akce“) realizovanou v roce 2021. Akce je kombinovaná.</w:t>
      </w:r>
    </w:p>
    <w:p w:rsidR="00B311B8" w:rsidRDefault="00B311B8">
      <w:pPr>
        <w:pStyle w:val="Zkladntext"/>
        <w:spacing w:before="1"/>
        <w:ind w:left="0" w:firstLine="0"/>
        <w:jc w:val="left"/>
        <w:rPr>
          <w:sz w:val="36"/>
        </w:rPr>
      </w:pPr>
    </w:p>
    <w:p w:rsidR="00B311B8" w:rsidRDefault="00700C6C">
      <w:pPr>
        <w:pStyle w:val="Nadpis1"/>
        <w:ind w:left="3276"/>
      </w:pPr>
      <w:r>
        <w:t>II.</w:t>
      </w:r>
    </w:p>
    <w:p w:rsidR="00B311B8" w:rsidRDefault="00700C6C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B311B8" w:rsidRDefault="00B311B8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1 276 643,77 Kč </w:t>
      </w:r>
      <w:r>
        <w:rPr>
          <w:sz w:val="20"/>
        </w:rPr>
        <w:t>(slovy: jeden milión dvě stě sedmdesát šest tisíc šest set čtyřicet tři korun českých a sedmdesát sedm</w:t>
      </w:r>
      <w:r>
        <w:rPr>
          <w:spacing w:val="-39"/>
          <w:sz w:val="20"/>
        </w:rPr>
        <w:t xml:space="preserve"> </w:t>
      </w:r>
      <w:r>
        <w:rPr>
          <w:sz w:val="20"/>
        </w:rPr>
        <w:t>haléřů).</w:t>
      </w: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2 553 287,55 Kč (z toho 2 461 025,</w:t>
      </w:r>
      <w:r>
        <w:rPr>
          <w:sz w:val="20"/>
        </w:rPr>
        <w:t>05 Kč odpovídá investičním výdajům a 92 262,50 Kč odpovídá neinvestičním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výdajům).</w:t>
      </w: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0"/>
        <w:jc w:val="both"/>
        <w:rPr>
          <w:sz w:val="20"/>
        </w:rPr>
      </w:pPr>
      <w:r>
        <w:rPr>
          <w:sz w:val="20"/>
        </w:rPr>
        <w:t>Podpora představuje 50,00 %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</w:t>
      </w:r>
      <w:r>
        <w:rPr>
          <w:sz w:val="20"/>
        </w:rPr>
        <w:t xml:space="preserve"> průběhu realizace akce) překročí základ pro stanovení podpory (popřípadě jeho část odpovídající postupu realizace akce), uhradí příjemce podpory částku tohoto překročení z vlastních zdrojů.</w:t>
      </w: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</w:t>
      </w:r>
      <w:r>
        <w:rPr>
          <w:sz w:val="20"/>
        </w:rPr>
        <w:t xml:space="preserve">ktivních, oprávněně a nezbytně vynaložených výdajů v přímé souvislosti s realizací projektu a které vznikly a byly uhrazeny v období realizace projektu (tj. po zahájení projektu a před dokončením projektu), nejdříve však po dni podání žádosti o poskytnutí </w:t>
      </w:r>
      <w:r>
        <w:rPr>
          <w:sz w:val="20"/>
        </w:rPr>
        <w:t>dotace, s výjimkou výdajů na projektovou přípravu, které mohou být uznány jako způsobilé i v případě, že vznikly a byly uhrazeny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</w:t>
      </w:r>
      <w:r>
        <w:rPr>
          <w:sz w:val="20"/>
        </w:rPr>
        <w:t>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311B8" w:rsidRDefault="00700C6C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B311B8" w:rsidRDefault="00B311B8">
      <w:pPr>
        <w:pStyle w:val="Zkladntext"/>
        <w:ind w:left="0" w:firstLine="0"/>
        <w:jc w:val="left"/>
        <w:rPr>
          <w:sz w:val="36"/>
        </w:rPr>
      </w:pPr>
    </w:p>
    <w:p w:rsidR="00B311B8" w:rsidRDefault="00700C6C">
      <w:pPr>
        <w:pStyle w:val="Nadpis1"/>
        <w:ind w:left="3275"/>
      </w:pPr>
      <w:r>
        <w:t>III.</w:t>
      </w:r>
    </w:p>
    <w:p w:rsidR="00B311B8" w:rsidRDefault="00700C6C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B311B8" w:rsidRDefault="00B311B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byl dodržen poměr podpory a vlastních </w:t>
      </w:r>
      <w:r>
        <w:rPr>
          <w:sz w:val="20"/>
        </w:rPr>
        <w:t>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ind w:right="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9"/>
          <w:sz w:val="20"/>
        </w:rPr>
        <w:t xml:space="preserve"> </w:t>
      </w:r>
      <w:r>
        <w:rPr>
          <w:sz w:val="20"/>
        </w:rPr>
        <w:t>takto:</w:t>
      </w:r>
    </w:p>
    <w:p w:rsidR="00B311B8" w:rsidRDefault="00B311B8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B311B8">
        <w:trPr>
          <w:trHeight w:val="506"/>
        </w:trPr>
        <w:tc>
          <w:tcPr>
            <w:tcW w:w="4112" w:type="dxa"/>
          </w:tcPr>
          <w:p w:rsidR="00B311B8" w:rsidRDefault="00700C6C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B311B8" w:rsidRDefault="00700C6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B311B8">
        <w:trPr>
          <w:trHeight w:val="505"/>
        </w:trPr>
        <w:tc>
          <w:tcPr>
            <w:tcW w:w="4112" w:type="dxa"/>
          </w:tcPr>
          <w:p w:rsidR="00B311B8" w:rsidRDefault="00700C6C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B311B8" w:rsidRDefault="00700C6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1 276 643,77</w:t>
            </w:r>
          </w:p>
        </w:tc>
      </w:tr>
    </w:tbl>
    <w:p w:rsidR="00B311B8" w:rsidRDefault="00B311B8">
      <w:pPr>
        <w:pStyle w:val="Zkladntext"/>
        <w:spacing w:before="11"/>
        <w:ind w:left="0" w:firstLine="0"/>
        <w:jc w:val="left"/>
        <w:rPr>
          <w:sz w:val="28"/>
        </w:rPr>
      </w:pP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</w:t>
      </w:r>
      <w:r>
        <w:rPr>
          <w:spacing w:val="2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21"/>
          <w:sz w:val="20"/>
        </w:rPr>
        <w:t xml:space="preserve"> </w:t>
      </w:r>
      <w:r>
        <w:rPr>
          <w:sz w:val="20"/>
        </w:rPr>
        <w:t>systému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České</w:t>
      </w:r>
      <w:r>
        <w:rPr>
          <w:spacing w:val="19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4"/>
          <w:sz w:val="20"/>
        </w:rPr>
        <w:t xml:space="preserve"> </w:t>
      </w:r>
      <w:r>
        <w:rPr>
          <w:sz w:val="20"/>
        </w:rPr>
        <w:t>jen</w:t>
      </w:r>
      <w:r>
        <w:rPr>
          <w:spacing w:val="21"/>
          <w:sz w:val="20"/>
        </w:rPr>
        <w:t xml:space="preserve"> </w:t>
      </w:r>
      <w:r>
        <w:rPr>
          <w:sz w:val="20"/>
        </w:rPr>
        <w:t>„AIS</w:t>
      </w:r>
    </w:p>
    <w:p w:rsidR="00B311B8" w:rsidRDefault="00B311B8">
      <w:pPr>
        <w:rPr>
          <w:sz w:val="20"/>
        </w:rPr>
        <w:sectPr w:rsidR="00B311B8">
          <w:pgSz w:w="12240" w:h="15840"/>
          <w:pgMar w:top="1060" w:right="1020" w:bottom="1640" w:left="1460" w:header="0" w:footer="1380" w:gutter="0"/>
          <w:cols w:space="708"/>
        </w:sectPr>
      </w:pPr>
    </w:p>
    <w:p w:rsidR="00B311B8" w:rsidRDefault="00700C6C">
      <w:pPr>
        <w:pStyle w:val="Zkladntext"/>
        <w:spacing w:before="73"/>
        <w:ind w:right="114" w:firstLine="0"/>
      </w:pPr>
      <w:r>
        <w:lastRenderedPageBreak/>
        <w:t>SFŽP ČR“) s každou žádostí o uvolnění finančních prostředků (bod 11), příslušné doklady prokazující oprávněnost vynaložených finančních prostředků.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 xml:space="preserve">O prostředky nevyčerpané v daném roce či vrácené se zvýší finanční objem následujícího roku, </w:t>
      </w:r>
      <w:r>
        <w:rPr>
          <w:spacing w:val="2"/>
          <w:sz w:val="20"/>
        </w:rPr>
        <w:t xml:space="preserve">pokud </w:t>
      </w:r>
      <w:r>
        <w:rPr>
          <w:sz w:val="20"/>
        </w:rPr>
        <w:t>Fond tent</w:t>
      </w:r>
      <w:r>
        <w:rPr>
          <w:sz w:val="20"/>
        </w:rPr>
        <w:t>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</w:t>
      </w:r>
      <w:r>
        <w:rPr>
          <w:sz w:val="20"/>
        </w:rPr>
        <w:t>e podpory v průběhu realizace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</w:t>
      </w:r>
      <w:r>
        <w:rPr>
          <w:sz w:val="20"/>
        </w:rPr>
        <w:t>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</w:t>
      </w:r>
      <w:r>
        <w:rPr>
          <w:sz w:val="20"/>
        </w:rPr>
        <w:t>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</w:t>
      </w:r>
      <w:r>
        <w:rPr>
          <w:sz w:val="20"/>
        </w:rPr>
        <w:t>ě platebního kalendáře v AIS SFŽP ČR a na základě žádostí o uvolnění finančních prostředků doručených Fondu příjemcem podpory prostřednictvím AIS SFŽP</w:t>
      </w:r>
      <w:r>
        <w:rPr>
          <w:spacing w:val="-30"/>
          <w:sz w:val="20"/>
        </w:rPr>
        <w:t xml:space="preserve"> </w:t>
      </w:r>
      <w:r>
        <w:rPr>
          <w:sz w:val="20"/>
        </w:rPr>
        <w:t>ČR.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0"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B311B8" w:rsidRDefault="00700C6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kopie faktur a ostatních úče</w:t>
      </w:r>
      <w:r>
        <w:rPr>
          <w:sz w:val="20"/>
        </w:rPr>
        <w:t>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B311B8" w:rsidRDefault="00700C6C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</w:t>
      </w:r>
      <w:r>
        <w:rPr>
          <w:sz w:val="20"/>
        </w:rPr>
        <w:t>tečně uhrazené; pokud příjemce podpory předloží Fondu neuhrazené nebo částečně uhrazené faktury, doloží příjemce podpory Fondu nejpozději do 10 kalendářních dnů od uvolnění finančních prostředků relevantní doklady prokazující uhrazení těchto faktur, včetně</w:t>
      </w:r>
      <w:r>
        <w:rPr>
          <w:sz w:val="20"/>
        </w:rPr>
        <w:t xml:space="preserve"> podílu vlastních zdrojů.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zhotovitele storno nebo dobropis faktury, je povinen tyto doklady včetně zdůvodnění </w:t>
      </w:r>
      <w:r>
        <w:rPr>
          <w:sz w:val="20"/>
        </w:rPr>
        <w:t>a kopie bankovního výpisu neprodleně po obdržení a provedení kontroly zaslat Fondu a splnit povinnost stanovenou v článku IV bodu 2 písm.</w:t>
      </w:r>
      <w:r>
        <w:rPr>
          <w:spacing w:val="-8"/>
          <w:sz w:val="20"/>
        </w:rPr>
        <w:t xml:space="preserve"> </w:t>
      </w:r>
      <w:r>
        <w:rPr>
          <w:sz w:val="20"/>
        </w:rPr>
        <w:t>c).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</w:t>
      </w:r>
      <w:r>
        <w:rPr>
          <w:sz w:val="20"/>
        </w:rPr>
        <w:t>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B311B8" w:rsidRDefault="00700C6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B311B8" w:rsidRDefault="00B311B8">
      <w:pPr>
        <w:jc w:val="both"/>
        <w:rPr>
          <w:sz w:val="20"/>
        </w:rPr>
        <w:sectPr w:rsidR="00B311B8">
          <w:pgSz w:w="12240" w:h="15840"/>
          <w:pgMar w:top="1060" w:right="1020" w:bottom="1640" w:left="1460" w:header="0" w:footer="1380" w:gutter="0"/>
          <w:cols w:space="708"/>
        </w:sectPr>
      </w:pP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B311B8">
      <w:pPr>
        <w:pStyle w:val="Zkladntext"/>
        <w:spacing w:before="8"/>
        <w:ind w:left="0" w:firstLine="0"/>
        <w:jc w:val="left"/>
        <w:rPr>
          <w:sz w:val="37"/>
        </w:rPr>
      </w:pPr>
    </w:p>
    <w:p w:rsidR="00B311B8" w:rsidRDefault="00700C6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B311B8" w:rsidRDefault="00700C6C">
      <w:pPr>
        <w:spacing w:before="73"/>
        <w:ind w:left="222" w:right="227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311B8" w:rsidRDefault="00700C6C">
      <w:pPr>
        <w:pStyle w:val="Nadpis1"/>
        <w:ind w:left="222" w:right="2280"/>
      </w:pPr>
      <w:r>
        <w:t>Základní závazky a další povinnosti příjemce podpory</w:t>
      </w:r>
    </w:p>
    <w:p w:rsidR="00B311B8" w:rsidRDefault="00B311B8">
      <w:pPr>
        <w:sectPr w:rsidR="00B311B8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akce bude provedena v souladu s Fondem odsouhlaseným energetickým posudkem „Opatření ke snížení energetické náročnosti veřejného osvětlení (VO) - Obec Francova Lhota",  zpracovaným  Ing. Jiřím Španihelem (10/2019), vče</w:t>
      </w:r>
      <w:r>
        <w:rPr>
          <w:sz w:val="20"/>
        </w:rPr>
        <w:t>tně případných změn a doplňků těchto dokumentů 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20"/>
        <w:rPr>
          <w:sz w:val="20"/>
        </w:rPr>
      </w:pPr>
      <w:r>
        <w:rPr>
          <w:sz w:val="20"/>
        </w:rPr>
        <w:t>bude vyměněno 226 svítidel veřejného osvětlení, nově doplněno 64 svítidel veřejného osvětlení     a dosaženo roční energetické úspory ve výši 125,45</w:t>
      </w:r>
      <w:r>
        <w:rPr>
          <w:spacing w:val="-5"/>
          <w:sz w:val="20"/>
        </w:rPr>
        <w:t xml:space="preserve"> </w:t>
      </w:r>
      <w:r>
        <w:rPr>
          <w:sz w:val="20"/>
        </w:rPr>
        <w:t>MWh/rok,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akce bude provedena na soust</w:t>
      </w:r>
      <w:r>
        <w:rPr>
          <w:sz w:val="20"/>
        </w:rPr>
        <w:t>avách veřejného osvětlení, jejichž vlastník vyslovil souhlas s realizací akce a  zajištěním  udržitelnosti  akce  (včetně  následné  péče  a  údržby  realizovaného  opatření  a provádění kontroly podle písm. b) odrážky čtvrté) po dobu 5 let od ukončení rea</w:t>
      </w:r>
      <w:r>
        <w:rPr>
          <w:sz w:val="20"/>
        </w:rPr>
        <w:t>lizace akce (příslušné doklady byly příjemcem podpory Fondu</w:t>
      </w:r>
      <w:r>
        <w:rPr>
          <w:spacing w:val="-6"/>
          <w:sz w:val="20"/>
        </w:rPr>
        <w:t xml:space="preserve"> </w:t>
      </w:r>
      <w:r>
        <w:rPr>
          <w:sz w:val="20"/>
        </w:rPr>
        <w:t>předány),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ind w:right="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</w:t>
      </w:r>
      <w:r>
        <w:rPr>
          <w:sz w:val="20"/>
        </w:rPr>
        <w:t>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 akcí</w:t>
      </w:r>
      <w:r>
        <w:rPr>
          <w:spacing w:val="-5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umožní provádět kontrolu provedení opatření na mí</w:t>
      </w:r>
      <w:r>
        <w:rPr>
          <w:sz w:val="20"/>
        </w:rPr>
        <w:t>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 konce 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0"/>
        <w:rPr>
          <w:sz w:val="20"/>
        </w:rPr>
      </w:pPr>
      <w:r>
        <w:rPr>
          <w:sz w:val="20"/>
        </w:rPr>
        <w:t>bude dodržovat pravidla publicity dle pokynů v článku 18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ind w:right="0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5"/>
        <w:rPr>
          <w:sz w:val="20"/>
        </w:rPr>
      </w:pPr>
      <w:r>
        <w:rPr>
          <w:sz w:val="20"/>
        </w:rPr>
        <w:t>termín dokončení akce do konce 11/2021 a o dodržení tohoto termínu Fond bez zbytečného 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 díla u relevantních aktivit).</w:t>
      </w:r>
      <w:r>
        <w:rPr>
          <w:sz w:val="20"/>
        </w:rPr>
        <w:t xml:space="preserve"> Přitom se konstatuje, že akce byla zahájena v</w:t>
      </w:r>
      <w:r>
        <w:rPr>
          <w:spacing w:val="-5"/>
          <w:sz w:val="20"/>
        </w:rPr>
        <w:t xml:space="preserve"> </w:t>
      </w:r>
      <w:r>
        <w:rPr>
          <w:sz w:val="20"/>
        </w:rPr>
        <w:t>5/2021,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 ČR Fondu tyto podklady k závěrečnému vyhodnocení akce (dále jen</w:t>
      </w:r>
      <w:r>
        <w:rPr>
          <w:spacing w:val="-5"/>
          <w:sz w:val="20"/>
        </w:rPr>
        <w:t xml:space="preserve"> </w:t>
      </w:r>
      <w:r>
        <w:rPr>
          <w:sz w:val="20"/>
        </w:rPr>
        <w:t>„ZVA"):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0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íla,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ind w:right="0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4"/>
        </w:tabs>
        <w:ind w:right="0"/>
        <w:rPr>
          <w:sz w:val="20"/>
        </w:rPr>
      </w:pPr>
      <w:r>
        <w:rPr>
          <w:sz w:val="20"/>
        </w:rPr>
        <w:t>stručnou závěrečnou zprávu o realizaci projektu,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ind w:right="119"/>
        <w:jc w:val="left"/>
        <w:rPr>
          <w:sz w:val="20"/>
        </w:rPr>
      </w:pPr>
      <w:r>
        <w:rPr>
          <w:sz w:val="20"/>
        </w:rPr>
        <w:t>protokol o ověření osvětlenosti pozemních komunikací a dalších výzvou požadovaných parametrů vypracovaný dle metodického pokynu,</w:t>
      </w:r>
    </w:p>
    <w:p w:rsidR="00B311B8" w:rsidRDefault="00700C6C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0"/>
        <w:jc w:val="left"/>
        <w:rPr>
          <w:sz w:val="20"/>
        </w:rPr>
      </w:pPr>
      <w:r>
        <w:rPr>
          <w:sz w:val="20"/>
        </w:rPr>
        <w:t>posouzení reálně dosažených úspor energie po jednom roce</w:t>
      </w:r>
      <w:r>
        <w:rPr>
          <w:spacing w:val="-8"/>
          <w:sz w:val="20"/>
        </w:rPr>
        <w:t xml:space="preserve"> </w:t>
      </w:r>
      <w:r>
        <w:rPr>
          <w:sz w:val="20"/>
        </w:rPr>
        <w:t>provozu.</w:t>
      </w:r>
    </w:p>
    <w:p w:rsidR="00B311B8" w:rsidRDefault="00700C6C">
      <w:pPr>
        <w:pStyle w:val="Zkladntext"/>
        <w:spacing w:before="118"/>
        <w:ind w:firstLine="0"/>
        <w:jc w:val="left"/>
      </w:pPr>
      <w:r>
        <w:t>K ZVA může Fond vydat závazné pokyny (či požádat o informace), které mohou jeho obsah blíže</w:t>
      </w:r>
    </w:p>
    <w:p w:rsidR="00B311B8" w:rsidRDefault="00B311B8">
      <w:pPr>
        <w:sectPr w:rsidR="00B311B8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B311B8" w:rsidRDefault="00700C6C">
      <w:pPr>
        <w:pStyle w:val="Zkladntext"/>
        <w:spacing w:before="73"/>
        <w:ind w:right="111" w:firstLine="0"/>
      </w:pPr>
      <w:r>
        <w:lastRenderedPageBreak/>
        <w:t>specifikovat či rozšířit. Příjemce podpory je povinen tyto pokyny (žádost o informace)</w:t>
      </w:r>
      <w:r>
        <w:t xml:space="preserve"> bez zbytečného odkladu</w:t>
      </w:r>
      <w:r>
        <w:rPr>
          <w:spacing w:val="-10"/>
        </w:rPr>
        <w:t xml:space="preserve"> </w:t>
      </w:r>
      <w:r>
        <w:t>(případně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10"/>
        </w:rPr>
        <w:t xml:space="preserve"> </w:t>
      </w:r>
      <w:r>
        <w:t>stanovené</w:t>
      </w:r>
      <w:r>
        <w:rPr>
          <w:spacing w:val="-11"/>
        </w:rPr>
        <w:t xml:space="preserve"> </w:t>
      </w:r>
      <w:r>
        <w:t>Fondem)</w:t>
      </w:r>
      <w:r>
        <w:rPr>
          <w:spacing w:val="-10"/>
        </w:rPr>
        <w:t xml:space="preserve"> </w:t>
      </w:r>
      <w:r>
        <w:t>splnit.</w:t>
      </w:r>
      <w:r>
        <w:rPr>
          <w:spacing w:val="-10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ZVA</w:t>
      </w:r>
      <w:r>
        <w:rPr>
          <w:spacing w:val="-9"/>
        </w:rPr>
        <w:t xml:space="preserve"> </w:t>
      </w:r>
      <w:r>
        <w:t>dříve</w:t>
      </w:r>
      <w:r>
        <w:rPr>
          <w:spacing w:val="-10"/>
        </w:rPr>
        <w:t xml:space="preserve"> </w:t>
      </w:r>
      <w:r>
        <w:t>než obdrží veškeré požadované podklady a informace, na základě kterých bude moci jednoznačně rozhodnout o plnění podmínek této Smlouvy a rovněž v případě, že příjemce podpory je v prodlení      s plněním finančních závazků vůči Fondu. Protokol o ZVA bude o</w:t>
      </w:r>
      <w:r>
        <w:t>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B311B8" w:rsidRDefault="00700C6C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1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p</w:t>
      </w:r>
      <w:r>
        <w:rPr>
          <w:sz w:val="20"/>
        </w:rPr>
        <w:t>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</w:t>
      </w:r>
      <w:r>
        <w:rPr>
          <w:sz w:val="20"/>
        </w:rPr>
        <w:t>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</w:t>
      </w:r>
      <w:r>
        <w:rPr>
          <w:sz w:val="20"/>
        </w:rPr>
        <w:t xml:space="preserve">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</w:t>
      </w:r>
      <w:r>
        <w:rPr>
          <w:sz w:val="20"/>
        </w:rPr>
        <w:t>akových změn skutečností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B311B8" w:rsidRDefault="00700C6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</w:p>
    <w:p w:rsidR="00B311B8" w:rsidRDefault="00B311B8">
      <w:pPr>
        <w:jc w:val="both"/>
        <w:rPr>
          <w:sz w:val="20"/>
        </w:rPr>
        <w:sectPr w:rsidR="00B311B8">
          <w:pgSz w:w="12240" w:h="15840"/>
          <w:pgMar w:top="1060" w:right="1020" w:bottom="1660" w:left="1460" w:header="0" w:footer="1380" w:gutter="0"/>
          <w:cols w:space="708"/>
        </w:sectPr>
      </w:pPr>
    </w:p>
    <w:p w:rsidR="00B311B8" w:rsidRDefault="00700C6C">
      <w:pPr>
        <w:pStyle w:val="Zkladntext"/>
        <w:spacing w:before="73"/>
        <w:ind w:left="808" w:firstLine="0"/>
        <w:jc w:val="left"/>
      </w:pPr>
      <w:r>
        <w:lastRenderedPageBreak/>
        <w:t>povinnosti relevantní pouze pro OPŽP 2014-2020 se na příjemce podpory nevztahují. V této souvislosti příjemce podpory prohlašuje, že uvedená pravidla byla dodržena.</w:t>
      </w:r>
    </w:p>
    <w:p w:rsidR="00B311B8" w:rsidRDefault="00B311B8">
      <w:pPr>
        <w:pStyle w:val="Zkladntext"/>
        <w:spacing w:before="2"/>
        <w:ind w:left="0" w:firstLine="0"/>
        <w:jc w:val="left"/>
        <w:rPr>
          <w:sz w:val="36"/>
        </w:rPr>
      </w:pPr>
    </w:p>
    <w:p w:rsidR="00B311B8" w:rsidRDefault="00700C6C">
      <w:pPr>
        <w:pStyle w:val="Nadpis1"/>
        <w:ind w:left="3274"/>
      </w:pPr>
      <w:r>
        <w:t>V.</w:t>
      </w:r>
    </w:p>
    <w:p w:rsidR="00B311B8" w:rsidRDefault="00700C6C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B311B8" w:rsidRDefault="00B311B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311B8" w:rsidRDefault="00700C6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B311B8" w:rsidRDefault="00700C6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 podpory.</w:t>
      </w:r>
    </w:p>
    <w:p w:rsidR="00B311B8" w:rsidRDefault="00700C6C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 článku IV bodu 1 písm. a) za druhou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%     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</w:t>
      </w:r>
      <w:r>
        <w:rPr>
          <w:sz w:val="20"/>
        </w:rPr>
        <w:t>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B311B8" w:rsidRDefault="00700C6C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c)  nebo d) bude postiženo odvodem ve výši 0,5 %    z poskytnuté podpory za každý započatý měsíc prodlení. Porušení těchto povinností nepřesahující lhůtu 10 kalendářních dnů nebude postiženo a nebude tak pov</w:t>
      </w:r>
      <w:r>
        <w:rPr>
          <w:sz w:val="20"/>
        </w:rPr>
        <w:t>ažováno za porušení podmínek poskytnutí podpory.</w:t>
      </w:r>
    </w:p>
    <w:p w:rsidR="00B311B8" w:rsidRDefault="00700C6C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B311B8" w:rsidRDefault="00700C6C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</w:t>
      </w:r>
      <w:r>
        <w:rPr>
          <w:sz w:val="20"/>
        </w:rPr>
        <w:t>o odvodem ve výši 1 % z poskytnuté podpory.</w:t>
      </w:r>
    </w:p>
    <w:p w:rsidR="00B311B8" w:rsidRDefault="00B311B8">
      <w:pPr>
        <w:pStyle w:val="Zkladntext"/>
        <w:spacing w:before="2"/>
        <w:ind w:left="0" w:firstLine="0"/>
        <w:jc w:val="left"/>
        <w:rPr>
          <w:sz w:val="36"/>
        </w:rPr>
      </w:pPr>
    </w:p>
    <w:p w:rsidR="00B311B8" w:rsidRDefault="00700C6C">
      <w:pPr>
        <w:pStyle w:val="Nadpis1"/>
        <w:ind w:left="3277"/>
      </w:pPr>
      <w:r>
        <w:t>VI.</w:t>
      </w:r>
    </w:p>
    <w:p w:rsidR="00B311B8" w:rsidRDefault="00700C6C">
      <w:pPr>
        <w:spacing w:before="1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B311B8" w:rsidRDefault="00B311B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B311B8" w:rsidRDefault="00B311B8">
      <w:pPr>
        <w:jc w:val="both"/>
        <w:rPr>
          <w:sz w:val="20"/>
        </w:rPr>
        <w:sectPr w:rsidR="00B311B8">
          <w:pgSz w:w="12240" w:h="15840"/>
          <w:pgMar w:top="1060" w:right="1020" w:bottom="1580" w:left="1460" w:header="0" w:footer="1380" w:gutter="0"/>
          <w:cols w:space="708"/>
        </w:sectPr>
      </w:pP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</w:t>
      </w:r>
      <w:r>
        <w:rPr>
          <w:sz w:val="20"/>
        </w:rPr>
        <w:t>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1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 účely  této  Smlouvy se informací (</w:t>
      </w:r>
      <w:r>
        <w:rPr>
          <w:sz w:val="20"/>
        </w:rPr>
        <w:t>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Sb., o zvláštních podmínkách účinnosti některých smluv, uveřejňování těchto smluv a o registru smluv (zákon o registru smluv), ve znění pozdějš</w:t>
      </w:r>
      <w:r>
        <w:rPr>
          <w:sz w:val="20"/>
        </w:rPr>
        <w:t>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B311B8" w:rsidRDefault="00700C6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</w:t>
      </w:r>
      <w:r>
        <w:rPr>
          <w:sz w:val="20"/>
        </w:rPr>
        <w:t>depsána vlastnoručně; každý exemplář má platnost originálu. Každá smluvní strana obdrží jeden exemplář.</w:t>
      </w:r>
    </w:p>
    <w:p w:rsidR="00B311B8" w:rsidRDefault="00B311B8">
      <w:pPr>
        <w:pStyle w:val="Zkladntext"/>
        <w:spacing w:before="1"/>
        <w:ind w:left="0" w:firstLine="0"/>
        <w:jc w:val="left"/>
        <w:rPr>
          <w:sz w:val="36"/>
        </w:rPr>
      </w:pPr>
    </w:p>
    <w:p w:rsidR="00B311B8" w:rsidRDefault="00700C6C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B311B8" w:rsidRDefault="00B311B8">
      <w:pPr>
        <w:pStyle w:val="Zkladntext"/>
        <w:spacing w:before="1"/>
        <w:ind w:left="0" w:firstLine="0"/>
        <w:jc w:val="left"/>
        <w:rPr>
          <w:sz w:val="18"/>
        </w:rPr>
      </w:pPr>
    </w:p>
    <w:p w:rsidR="00B311B8" w:rsidRDefault="00700C6C">
      <w:pPr>
        <w:pStyle w:val="Zkladntext"/>
        <w:ind w:left="242" w:firstLine="0"/>
        <w:jc w:val="left"/>
      </w:pPr>
      <w:r>
        <w:t>dne:</w:t>
      </w: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B311B8">
      <w:pPr>
        <w:pStyle w:val="Zkladntext"/>
        <w:spacing w:before="3"/>
        <w:ind w:left="0" w:firstLine="0"/>
        <w:jc w:val="left"/>
        <w:rPr>
          <w:sz w:val="29"/>
        </w:rPr>
      </w:pPr>
    </w:p>
    <w:p w:rsidR="00B311B8" w:rsidRDefault="00700C6C">
      <w:pPr>
        <w:pStyle w:val="Zkladntext"/>
        <w:tabs>
          <w:tab w:val="left" w:pos="6722"/>
        </w:tabs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B311B8" w:rsidRDefault="00700C6C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B311B8">
      <w:pPr>
        <w:pStyle w:val="Zkladntext"/>
        <w:spacing w:before="3"/>
        <w:ind w:left="0" w:firstLine="0"/>
        <w:jc w:val="left"/>
        <w:rPr>
          <w:sz w:val="37"/>
        </w:rPr>
      </w:pPr>
    </w:p>
    <w:p w:rsidR="00B311B8" w:rsidRDefault="00700C6C">
      <w:pPr>
        <w:pStyle w:val="Zkladntext"/>
        <w:spacing w:line="264" w:lineRule="auto"/>
        <w:ind w:left="242" w:firstLine="0"/>
        <w:jc w:val="left"/>
      </w:pPr>
      <w:r>
        <w:t>Příloha č. 1 - Stanovení finančních oprav, které se použijí v případě porušení povinností při zadávání zakázek/veřejných zakázek</w:t>
      </w:r>
    </w:p>
    <w:p w:rsidR="00B311B8" w:rsidRDefault="00B311B8">
      <w:pPr>
        <w:spacing w:line="264" w:lineRule="auto"/>
        <w:sectPr w:rsidR="00B311B8">
          <w:pgSz w:w="12240" w:h="15840"/>
          <w:pgMar w:top="1060" w:right="1020" w:bottom="1660" w:left="1460" w:header="0" w:footer="1380" w:gutter="0"/>
          <w:cols w:space="708"/>
        </w:sectPr>
      </w:pPr>
    </w:p>
    <w:p w:rsidR="00B311B8" w:rsidRDefault="00700C6C">
      <w:pPr>
        <w:pStyle w:val="Zkladntext"/>
        <w:spacing w:before="85"/>
        <w:ind w:left="242" w:firstLine="0"/>
        <w:jc w:val="left"/>
      </w:pPr>
      <w:r>
        <w:lastRenderedPageBreak/>
        <w:t>Příloha č. 1 Smlouva o poskytnutí podpory ze Státního fondu životního prostředí České republiky</w:t>
      </w:r>
    </w:p>
    <w:p w:rsidR="00B311B8" w:rsidRDefault="00B311B8">
      <w:pPr>
        <w:pStyle w:val="Zkladntext"/>
        <w:ind w:left="0" w:firstLine="0"/>
        <w:jc w:val="left"/>
        <w:rPr>
          <w:sz w:val="26"/>
        </w:rPr>
      </w:pPr>
    </w:p>
    <w:p w:rsidR="00B311B8" w:rsidRDefault="00B311B8">
      <w:pPr>
        <w:pStyle w:val="Zkladntext"/>
        <w:spacing w:before="2"/>
        <w:ind w:left="0" w:firstLine="0"/>
        <w:jc w:val="left"/>
        <w:rPr>
          <w:sz w:val="32"/>
        </w:rPr>
      </w:pPr>
    </w:p>
    <w:p w:rsidR="00B311B8" w:rsidRDefault="00700C6C">
      <w:pPr>
        <w:pStyle w:val="Nadpis1"/>
        <w:spacing w:before="1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B311B8" w:rsidRDefault="00B311B8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 xml:space="preserve">Pokud je možné přesně vyčíslit finanční dopad identifikovaného porušení, bude finanční oprava stanovena ve výši vyčísleného finančního dopadu. V </w:t>
      </w:r>
      <w:r>
        <w:rPr>
          <w:sz w:val="20"/>
        </w:rPr>
        <w:t>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</w:t>
      </w:r>
      <w:r>
        <w:rPr>
          <w:sz w:val="20"/>
        </w:rPr>
        <w:t>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</w:t>
      </w:r>
      <w:r>
        <w:rPr>
          <w:sz w:val="20"/>
        </w:rPr>
        <w:t>m na nejzávažnější porušení.</w:t>
      </w: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považovat za zá</w:t>
      </w:r>
      <w:r>
        <w:rPr>
          <w:sz w:val="20"/>
        </w:rPr>
        <w:t>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311B8" w:rsidRDefault="00700C6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</w:t>
      </w:r>
      <w:r>
        <w:rPr>
          <w:sz w:val="20"/>
        </w:rPr>
        <w:t>ré nelze podřadit pod konkrétní typ porušení uvedený 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B311B8" w:rsidRDefault="00B311B8">
      <w:pPr>
        <w:spacing w:line="264" w:lineRule="auto"/>
        <w:jc w:val="both"/>
        <w:rPr>
          <w:sz w:val="20"/>
        </w:rPr>
        <w:sectPr w:rsidR="00B311B8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311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311B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311B8" w:rsidRDefault="00700C6C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B311B8" w:rsidRDefault="00700C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B311B8" w:rsidRDefault="00700C6C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11B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B311B8" w:rsidRDefault="00700C6C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B311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B311B8" w:rsidRDefault="00700C6C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B311B8" w:rsidRDefault="00700C6C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311B8" w:rsidRDefault="00700C6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11B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B311B8" w:rsidRDefault="00700C6C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B311B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B311B8" w:rsidRDefault="00700C6C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B311B8" w:rsidRDefault="00700C6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B311B8" w:rsidRDefault="00700C6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B311B8" w:rsidRDefault="00700C6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B311B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B311B8" w:rsidRDefault="00700C6C">
            <w:pPr>
              <w:pStyle w:val="TableParagraph"/>
              <w:spacing w:before="2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B311B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B311B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B311B8" w:rsidRDefault="00700C6C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B311B8" w:rsidRDefault="00700C6C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B311B8" w:rsidRDefault="00700C6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B311B8" w:rsidRDefault="00700C6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B311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B311B8" w:rsidRDefault="00700C6C">
            <w:pPr>
              <w:pStyle w:val="TableParagraph"/>
              <w:spacing w:before="27" w:line="264" w:lineRule="auto"/>
              <w:ind w:left="117" w:right="119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B311B8" w:rsidRDefault="00700C6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B311B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B311B8" w:rsidRDefault="00700C6C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B311B8" w:rsidRDefault="00B311B8">
      <w:pPr>
        <w:spacing w:line="261" w:lineRule="auto"/>
        <w:rPr>
          <w:sz w:val="20"/>
        </w:rPr>
        <w:sectPr w:rsidR="00B311B8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311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311B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311B8" w:rsidRDefault="00700C6C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B311B8" w:rsidRDefault="00700C6C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B311B8" w:rsidRDefault="00700C6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B311B8" w:rsidRDefault="00700C6C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B311B8" w:rsidRDefault="00700C6C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B311B8" w:rsidRDefault="00700C6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311B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B311B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B311B8" w:rsidRDefault="00700C6C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B311B8" w:rsidRDefault="00700C6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B311B8" w:rsidRDefault="00700C6C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B311B8" w:rsidRDefault="00700C6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311B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B311B8" w:rsidRDefault="00700C6C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311B8" w:rsidRDefault="00700C6C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311B8" w:rsidRDefault="00700C6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B311B8" w:rsidRDefault="00700C6C">
            <w:pPr>
              <w:pStyle w:val="TableParagraph"/>
              <w:spacing w:before="1" w:line="261" w:lineRule="auto"/>
              <w:ind w:left="117" w:right="124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B311B8" w:rsidRDefault="00700C6C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B311B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B311B8" w:rsidRDefault="00700C6C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B311B8" w:rsidRDefault="00700C6C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B311B8" w:rsidRDefault="00700C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B311B8" w:rsidRDefault="00700C6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B311B8" w:rsidRDefault="00700C6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B311B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B311B8" w:rsidRDefault="00700C6C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B311B8" w:rsidRDefault="00700C6C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B311B8" w:rsidRDefault="00B311B8">
      <w:pPr>
        <w:spacing w:line="264" w:lineRule="auto"/>
        <w:rPr>
          <w:sz w:val="20"/>
        </w:rPr>
        <w:sectPr w:rsidR="00B311B8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311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311B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B311B8" w:rsidRDefault="00700C6C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B311B8" w:rsidRDefault="00700C6C">
            <w:pPr>
              <w:pStyle w:val="TableParagraph"/>
              <w:spacing w:before="1" w:line="264" w:lineRule="auto"/>
              <w:ind w:right="185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B311B8" w:rsidRDefault="00700C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311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B311B8" w:rsidRDefault="00700C6C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11B8" w:rsidRDefault="00700C6C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B311B8" w:rsidRDefault="00700C6C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B311B8" w:rsidRDefault="00700C6C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11B8" w:rsidRDefault="00700C6C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311B8" w:rsidRDefault="00700C6C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311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B311B8" w:rsidRDefault="00700C6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311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B311B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B311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B311B8" w:rsidRDefault="00700C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311B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B311B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311B8" w:rsidRDefault="00700C6C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B311B8" w:rsidRDefault="00700C6C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B311B8" w:rsidRDefault="00700C6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11B8" w:rsidRDefault="00700C6C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11B8" w:rsidRDefault="00700C6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B311B8" w:rsidRDefault="00B311B8">
      <w:pPr>
        <w:spacing w:line="264" w:lineRule="auto"/>
        <w:rPr>
          <w:sz w:val="20"/>
        </w:rPr>
        <w:sectPr w:rsidR="00B311B8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311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311B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311B8" w:rsidRDefault="00700C6C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B311B8" w:rsidRDefault="00700C6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B311B8" w:rsidRDefault="00700C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B311B8" w:rsidRDefault="00700C6C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311B8" w:rsidRDefault="00700C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311B8" w:rsidRDefault="00700C6C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B311B8" w:rsidRDefault="00700C6C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311B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B311B8" w:rsidRDefault="00700C6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B311B8" w:rsidRDefault="00700C6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B311B8" w:rsidRDefault="00700C6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B311B8" w:rsidRDefault="00700C6C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B311B8" w:rsidRDefault="00700C6C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B311B8" w:rsidRDefault="00700C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B311B8" w:rsidRDefault="00700C6C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B311B8" w:rsidRDefault="00700C6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311B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B311B8" w:rsidRDefault="00700C6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B311B8" w:rsidRDefault="00700C6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11B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B311B8" w:rsidRDefault="00B311B8">
      <w:pPr>
        <w:spacing w:line="264" w:lineRule="auto"/>
        <w:rPr>
          <w:sz w:val="20"/>
        </w:rPr>
        <w:sectPr w:rsidR="00B311B8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311B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311B8" w:rsidRDefault="00700C6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311B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B311B8" w:rsidRDefault="00700C6C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B311B8" w:rsidRDefault="00700C6C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B311B8" w:rsidRDefault="00700C6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B311B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B311B8" w:rsidRDefault="00700C6C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B311B8" w:rsidRDefault="00700C6C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B311B8" w:rsidRDefault="00700C6C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B311B8" w:rsidRDefault="00700C6C">
            <w:pPr>
              <w:pStyle w:val="TableParagraph"/>
              <w:spacing w:before="14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B311B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B311B8" w:rsidRDefault="00700C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B311B8" w:rsidRDefault="00700C6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11B8" w:rsidRDefault="00700C6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B311B8" w:rsidRDefault="00700C6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B311B8" w:rsidRDefault="00700C6C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B311B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311B8" w:rsidRDefault="00700C6C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B311B8" w:rsidRDefault="00700C6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B311B8" w:rsidRDefault="00700C6C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B311B8" w:rsidRDefault="00700C6C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311B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1B8" w:rsidRDefault="00700C6C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B311B8" w:rsidRDefault="00700C6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B311B8" w:rsidRDefault="00700C6C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B311B8" w:rsidRDefault="00700C6C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11B8" w:rsidRDefault="00700C6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11B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11B8" w:rsidRDefault="00B311B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311B8" w:rsidRDefault="00700C6C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700C6C" w:rsidRDefault="00700C6C"/>
    <w:sectPr w:rsidR="00700C6C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6C" w:rsidRDefault="00700C6C">
      <w:r>
        <w:separator/>
      </w:r>
    </w:p>
  </w:endnote>
  <w:endnote w:type="continuationSeparator" w:id="0">
    <w:p w:rsidR="00700C6C" w:rsidRDefault="007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B8" w:rsidRDefault="00700C6C">
    <w:pPr>
      <w:pStyle w:val="Zkladntext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B311B8" w:rsidRDefault="00700C6C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72C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6C" w:rsidRDefault="00700C6C">
      <w:r>
        <w:separator/>
      </w:r>
    </w:p>
  </w:footnote>
  <w:footnote w:type="continuationSeparator" w:id="0">
    <w:p w:rsidR="00700C6C" w:rsidRDefault="0070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F9"/>
    <w:multiLevelType w:val="hybridMultilevel"/>
    <w:tmpl w:val="EB22117A"/>
    <w:lvl w:ilvl="0" w:tplc="FB6A9F7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21702FE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D8C45B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13080A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93289B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6521E9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BB0B3F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5E8FF9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76A92E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BF63D68"/>
    <w:multiLevelType w:val="hybridMultilevel"/>
    <w:tmpl w:val="1CFE80DE"/>
    <w:lvl w:ilvl="0" w:tplc="5DF028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768E69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D3C5AA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E700A532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0D26BF64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EB24583A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33C2E6E4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7430CE48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4DE6F2DC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2F01675E"/>
    <w:multiLevelType w:val="hybridMultilevel"/>
    <w:tmpl w:val="ACC20EB0"/>
    <w:lvl w:ilvl="0" w:tplc="B3704B3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F5A577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31E8A2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120801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90AA0A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7A871F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414640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4D00AA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1EA898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8B5373D"/>
    <w:multiLevelType w:val="hybridMultilevel"/>
    <w:tmpl w:val="ADC0320C"/>
    <w:lvl w:ilvl="0" w:tplc="7C10152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4BE59A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F6CFCC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44AEB3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DAC737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5803C2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162F56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EF2733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066C5E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68D4C08"/>
    <w:multiLevelType w:val="hybridMultilevel"/>
    <w:tmpl w:val="13A853E8"/>
    <w:lvl w:ilvl="0" w:tplc="511C27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ADCAA2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332B62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D549C7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2EA132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A5627D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1C004F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778D88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7BE836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42C5DB2"/>
    <w:multiLevelType w:val="hybridMultilevel"/>
    <w:tmpl w:val="7C88E79C"/>
    <w:lvl w:ilvl="0" w:tplc="EB36F8A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7B404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332794E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079C6CB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2A44DD46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70F00A2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788C2F9E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4A202904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D1568212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7657D27"/>
    <w:multiLevelType w:val="hybridMultilevel"/>
    <w:tmpl w:val="26EA61D8"/>
    <w:lvl w:ilvl="0" w:tplc="FE9C462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2F4E62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B7E992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D98BB2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C4C1BD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4BACA8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526D24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4C2106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D5E1D7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311B8"/>
    <w:rsid w:val="00700C6C"/>
    <w:rsid w:val="00A372CB"/>
    <w:rsid w:val="00B3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1A127"/>
  <w15:docId w15:val="{B2758F6D-E120-44A8-BBA0-41F5125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4357</Words>
  <Characters>25710</Characters>
  <Application>Microsoft Office Word</Application>
  <DocSecurity>0</DocSecurity>
  <Lines>214</Lines>
  <Paragraphs>60</Paragraphs>
  <ScaleCrop>false</ScaleCrop>
  <Company>SFZP</Company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2021-07-09T09:10:00Z</dcterms:created>
  <dcterms:modified xsi:type="dcterms:W3CDTF">2021-07-09T09:10:00Z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