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334" w:h="211" w:wrap="none" w:hAnchor="page" w:x="738" w:y="44"/>
        <w:widowControl w:val="0"/>
        <w:shd w:val="clear" w:color="auto" w:fill="auto"/>
        <w:bidi w:val="0"/>
        <w:spacing w:before="0" w:after="0" w:line="240" w:lineRule="auto"/>
        <w:ind w:left="0" w:right="0" w:firstLine="0"/>
        <w:jc w:val="left"/>
      </w:pPr>
      <w:r>
        <w:rPr>
          <w:rStyle w:val="CharStyle3"/>
        </w:rPr>
        <w:t>Níže uvedeného dne, měsíce a roku uzavřely smluvní strany</w:t>
      </w:r>
    </w:p>
    <w:p>
      <w:pPr>
        <w:pStyle w:val="Style2"/>
        <w:keepNext w:val="0"/>
        <w:keepLines w:val="0"/>
        <w:framePr w:w="1186" w:h="216" w:wrap="none" w:hAnchor="page" w:x="738" w:y="601"/>
        <w:widowControl w:val="0"/>
        <w:shd w:val="clear" w:color="auto" w:fill="auto"/>
        <w:bidi w:val="0"/>
        <w:spacing w:before="0" w:after="0" w:line="240" w:lineRule="auto"/>
        <w:ind w:left="0" w:right="0" w:firstLine="0"/>
        <w:jc w:val="left"/>
      </w:pPr>
      <w:r>
        <w:rPr>
          <w:rStyle w:val="CharStyle3"/>
        </w:rPr>
        <w:t>na straně jedné:</w:t>
      </w:r>
    </w:p>
    <w:p>
      <w:pPr>
        <w:pStyle w:val="Style2"/>
        <w:keepNext w:val="0"/>
        <w:keepLines w:val="0"/>
        <w:framePr w:w="1315" w:h="1478" w:wrap="none" w:hAnchor="page" w:x="728" w:y="1153"/>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framePr w:w="1315" w:h="1478" w:wrap="none" w:hAnchor="page" w:x="728" w:y="1153"/>
        <w:widowControl w:val="0"/>
        <w:shd w:val="clear" w:color="auto" w:fill="auto"/>
        <w:bidi w:val="0"/>
        <w:spacing w:before="0" w:after="0" w:line="240" w:lineRule="auto"/>
        <w:ind w:left="0" w:right="0" w:firstLine="0"/>
        <w:jc w:val="left"/>
      </w:pPr>
      <w:r>
        <w:rPr>
          <w:rStyle w:val="CharStyle3"/>
        </w:rPr>
        <w:t>Bankovní spojení:</w:t>
      </w:r>
    </w:p>
    <w:p>
      <w:pPr>
        <w:pStyle w:val="Style2"/>
        <w:keepNext w:val="0"/>
        <w:keepLines w:val="0"/>
        <w:framePr w:w="1315" w:h="1478" w:wrap="none" w:hAnchor="page" w:x="728" w:y="1153"/>
        <w:widowControl w:val="0"/>
        <w:shd w:val="clear" w:color="auto" w:fill="auto"/>
        <w:bidi w:val="0"/>
        <w:spacing w:before="0" w:after="0" w:line="240" w:lineRule="auto"/>
        <w:ind w:left="0" w:right="0" w:firstLine="0"/>
        <w:jc w:val="left"/>
      </w:pPr>
      <w:r>
        <w:rPr>
          <w:rStyle w:val="CharStyle3"/>
        </w:rPr>
        <w:t>Číslo účtu:</w:t>
      </w:r>
    </w:p>
    <w:p>
      <w:pPr>
        <w:pStyle w:val="Style2"/>
        <w:keepNext w:val="0"/>
        <w:keepLines w:val="0"/>
        <w:framePr w:w="1315" w:h="1478" w:wrap="none" w:hAnchor="page" w:x="728" w:y="1153"/>
        <w:widowControl w:val="0"/>
        <w:shd w:val="clear" w:color="auto" w:fill="auto"/>
        <w:bidi w:val="0"/>
        <w:spacing w:before="0" w:after="0" w:line="230" w:lineRule="auto"/>
        <w:ind w:left="0" w:right="0" w:firstLine="0"/>
        <w:jc w:val="left"/>
      </w:pPr>
      <w:r>
        <w:rPr>
          <w:rStyle w:val="CharStyle3"/>
        </w:rPr>
        <w:t>IČ:</w:t>
      </w:r>
    </w:p>
    <w:p>
      <w:pPr>
        <w:pStyle w:val="Style2"/>
        <w:keepNext w:val="0"/>
        <w:keepLines w:val="0"/>
        <w:framePr w:w="1315" w:h="1478" w:wrap="none" w:hAnchor="page" w:x="728" w:y="1153"/>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framePr w:w="1315" w:h="1478" w:wrap="none" w:hAnchor="page" w:x="728" w:y="1153"/>
        <w:widowControl w:val="0"/>
        <w:shd w:val="clear" w:color="auto" w:fill="auto"/>
        <w:bidi w:val="0"/>
        <w:spacing w:before="0" w:after="160" w:line="240" w:lineRule="auto"/>
        <w:ind w:left="0" w:right="0" w:firstLine="0"/>
        <w:jc w:val="left"/>
      </w:pPr>
      <w:r>
        <w:rPr>
          <w:rStyle w:val="CharStyle3"/>
        </w:rPr>
        <w:t>(dále jen Lindě)</w:t>
      </w:r>
    </w:p>
    <w:p>
      <w:pPr>
        <w:pStyle w:val="Style2"/>
        <w:keepNext w:val="0"/>
        <w:keepLines w:val="0"/>
        <w:framePr w:w="1315" w:h="1478" w:wrap="none" w:hAnchor="page" w:x="728" w:y="1153"/>
        <w:widowControl w:val="0"/>
        <w:shd w:val="clear" w:color="auto" w:fill="auto"/>
        <w:bidi w:val="0"/>
        <w:spacing w:before="0" w:after="80" w:line="240" w:lineRule="auto"/>
        <w:ind w:left="0" w:right="0" w:firstLine="0"/>
        <w:jc w:val="left"/>
      </w:pPr>
      <w:r>
        <w:rPr>
          <w:rStyle w:val="CharStyle3"/>
        </w:rPr>
        <w:t>na straně druhé:</w:t>
      </w:r>
    </w:p>
    <w:p>
      <w:pPr>
        <w:pStyle w:val="Style2"/>
        <w:keepNext w:val="0"/>
        <w:keepLines w:val="0"/>
        <w:framePr w:w="3595" w:h="1483" w:wrap="none" w:hAnchor="page" w:x="4208" w:y="601"/>
        <w:widowControl w:val="0"/>
        <w:shd w:val="clear" w:color="auto" w:fill="auto"/>
        <w:bidi w:val="0"/>
        <w:spacing w:before="0" w:after="0" w:line="240" w:lineRule="auto"/>
        <w:ind w:left="0" w:right="0" w:firstLine="0"/>
        <w:jc w:val="left"/>
      </w:pPr>
      <w:r>
        <w:rPr>
          <w:rStyle w:val="CharStyle3"/>
        </w:rPr>
        <w:t>Lindě Gas a.s.</w:t>
      </w:r>
    </w:p>
    <w:p>
      <w:pPr>
        <w:pStyle w:val="Style2"/>
        <w:keepNext w:val="0"/>
        <w:keepLines w:val="0"/>
        <w:framePr w:w="3595" w:h="1483" w:wrap="none" w:hAnchor="page" w:x="4208" w:y="601"/>
        <w:widowControl w:val="0"/>
        <w:shd w:val="clear" w:color="auto" w:fill="auto"/>
        <w:bidi w:val="0"/>
        <w:spacing w:before="0" w:after="0" w:line="230" w:lineRule="auto"/>
        <w:ind w:left="0" w:right="0" w:firstLine="0"/>
        <w:jc w:val="left"/>
      </w:pPr>
      <w:r>
        <w:rPr>
          <w:rStyle w:val="CharStyle3"/>
        </w:rPr>
        <w:t>U Technoplynu 1324</w:t>
      </w:r>
    </w:p>
    <w:p>
      <w:pPr>
        <w:pStyle w:val="Style2"/>
        <w:keepNext w:val="0"/>
        <w:keepLines w:val="0"/>
        <w:framePr w:w="3595" w:h="1483" w:wrap="none" w:hAnchor="page" w:x="4208" w:y="601"/>
        <w:widowControl w:val="0"/>
        <w:shd w:val="clear" w:color="auto" w:fill="auto"/>
        <w:bidi w:val="0"/>
        <w:spacing w:before="0" w:after="0" w:line="240" w:lineRule="auto"/>
        <w:ind w:left="0" w:right="0" w:firstLine="0"/>
        <w:jc w:val="left"/>
      </w:pPr>
      <w:r>
        <w:rPr>
          <w:rStyle w:val="CharStyle3"/>
        </w:rPr>
        <w:t>198 00 Praha 9</w:t>
      </w:r>
    </w:p>
    <w:p>
      <w:pPr>
        <w:pStyle w:val="Style2"/>
        <w:keepNext w:val="0"/>
        <w:keepLines w:val="0"/>
        <w:framePr w:w="3595" w:h="1483" w:wrap="none" w:hAnchor="page" w:x="4208" w:y="601"/>
        <w:widowControl w:val="0"/>
        <w:shd w:val="clear" w:color="auto" w:fill="auto"/>
        <w:bidi w:val="0"/>
        <w:spacing w:before="0" w:after="0" w:line="226" w:lineRule="auto"/>
        <w:ind w:left="0" w:right="0" w:firstLine="0"/>
        <w:jc w:val="left"/>
      </w:pPr>
      <w:r>
        <w:rPr>
          <w:rStyle w:val="CharStyle3"/>
          <w:b/>
          <w:bCs/>
        </w:rPr>
        <w:t>Bc.Petr Štolcar, Lenka Nesvadbová</w:t>
      </w:r>
    </w:p>
    <w:p>
      <w:pPr>
        <w:pStyle w:val="Style2"/>
        <w:keepNext w:val="0"/>
        <w:keepLines w:val="0"/>
        <w:framePr w:w="3595" w:h="1483" w:wrap="none" w:hAnchor="page" w:x="4208" w:y="601"/>
        <w:widowControl w:val="0"/>
        <w:shd w:val="clear" w:color="auto" w:fill="auto"/>
        <w:bidi w:val="0"/>
        <w:spacing w:before="0" w:after="0" w:line="240" w:lineRule="auto"/>
        <w:ind w:left="0" w:right="0" w:firstLine="0"/>
        <w:jc w:val="left"/>
      </w:pP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7"/>
          <w:shd w:val="clear" w:color="auto" w:fill="000000"/>
        </w:rPr>
        <w:t>...</w:t>
      </w:r>
      <w:r>
        <w:rPr>
          <w:rStyle w:val="CharStyle3"/>
          <w:spacing w:val="8"/>
          <w:shd w:val="clear" w:color="auto" w:fill="000000"/>
        </w:rPr>
        <w:t>..</w:t>
      </w:r>
    </w:p>
    <w:p>
      <w:pPr>
        <w:pStyle w:val="Style2"/>
        <w:keepNext w:val="0"/>
        <w:keepLines w:val="0"/>
        <w:framePr w:w="3595" w:h="1483" w:wrap="none" w:hAnchor="page" w:x="4208" w:y="601"/>
        <w:widowControl w:val="0"/>
        <w:shd w:val="clear" w:color="auto" w:fill="auto"/>
        <w:bidi w:val="0"/>
        <w:spacing w:before="0" w:after="0" w:line="240" w:lineRule="auto"/>
        <w:ind w:left="0" w:right="0" w:firstLine="0"/>
        <w:jc w:val="left"/>
      </w:pPr>
      <w:r>
        <w:rPr>
          <w:rStyle w:val="CharStyle3"/>
          <w:shd w:val="clear" w:color="auto" w:fill="000000"/>
        </w:rPr>
        <w:t>...........................</w:t>
      </w:r>
      <w:r>
        <w:rPr>
          <w:rStyle w:val="CharStyle3"/>
          <w:spacing w:val="1"/>
          <w:shd w:val="clear" w:color="auto" w:fill="000000"/>
        </w:rPr>
        <w:t>..</w:t>
      </w:r>
    </w:p>
    <w:p>
      <w:pPr>
        <w:pStyle w:val="Style2"/>
        <w:keepNext w:val="0"/>
        <w:keepLines w:val="0"/>
        <w:framePr w:w="3595" w:h="1483" w:wrap="none" w:hAnchor="page" w:x="4208" w:y="601"/>
        <w:widowControl w:val="0"/>
        <w:shd w:val="clear" w:color="auto" w:fill="auto"/>
        <w:bidi w:val="0"/>
        <w:spacing w:before="0" w:after="0" w:line="230" w:lineRule="auto"/>
        <w:ind w:left="0" w:right="0" w:firstLine="0"/>
        <w:jc w:val="left"/>
      </w:pPr>
      <w:r>
        <w:rPr>
          <w:rStyle w:val="CharStyle3"/>
        </w:rPr>
        <w:t>00011754</w:t>
      </w:r>
    </w:p>
    <w:p>
      <w:pPr>
        <w:pStyle w:val="Style2"/>
        <w:keepNext w:val="0"/>
        <w:keepLines w:val="0"/>
        <w:framePr w:w="3595" w:h="1483" w:wrap="none" w:hAnchor="page" w:x="4208" w:y="601"/>
        <w:widowControl w:val="0"/>
        <w:shd w:val="clear" w:color="auto" w:fill="auto"/>
        <w:bidi w:val="0"/>
        <w:spacing w:before="0" w:after="0" w:line="240" w:lineRule="auto"/>
        <w:ind w:left="0" w:right="0" w:firstLine="0"/>
        <w:jc w:val="left"/>
      </w:pPr>
      <w:r>
        <w:rPr>
          <w:rStyle w:val="CharStyle3"/>
        </w:rPr>
        <w:t>CZ00011754</w:t>
      </w:r>
    </w:p>
    <w:p>
      <w:pPr>
        <w:pStyle w:val="Style11"/>
        <w:keepNext/>
        <w:keepLines/>
        <w:framePr w:w="2419" w:h="754" w:wrap="none" w:hAnchor="page" w:x="8898" w:y="1"/>
        <w:widowControl w:val="0"/>
        <w:shd w:val="clear" w:color="auto" w:fill="auto"/>
        <w:bidi w:val="0"/>
        <w:spacing w:before="0" w:after="0" w:line="240" w:lineRule="auto"/>
        <w:ind w:left="0" w:right="0" w:firstLine="0"/>
        <w:jc w:val="right"/>
      </w:pPr>
      <w:bookmarkStart w:id="0" w:name="bookmark0"/>
      <w:r>
        <w:rPr>
          <w:rStyle w:val="CharStyle12"/>
        </w:rPr>
        <w:t>lllllllllllllllllllllllll</w:t>
      </w:r>
      <w:bookmarkEnd w:id="0"/>
    </w:p>
    <w:p>
      <w:pPr>
        <w:pStyle w:val="Style2"/>
        <w:keepNext w:val="0"/>
        <w:keepLines w:val="0"/>
        <w:framePr w:w="931" w:h="206" w:wrap="none" w:hAnchor="page" w:x="9205" w:y="798"/>
        <w:widowControl w:val="0"/>
        <w:shd w:val="clear" w:color="auto" w:fill="auto"/>
        <w:bidi w:val="0"/>
        <w:spacing w:before="0" w:after="0" w:line="240" w:lineRule="auto"/>
        <w:ind w:left="0" w:right="0" w:firstLine="0"/>
        <w:jc w:val="left"/>
      </w:pPr>
      <w:r>
        <w:rPr>
          <w:rStyle w:val="CharStyle3"/>
        </w:rPr>
        <w:t>2021004108</w:t>
      </w:r>
    </w:p>
    <w:p>
      <w:pPr>
        <w:pStyle w:val="Style2"/>
        <w:keepNext w:val="0"/>
        <w:keepLines w:val="0"/>
        <w:framePr w:w="1397" w:h="946" w:wrap="none" w:hAnchor="page" w:x="728" w:y="3179"/>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framePr w:w="1397" w:h="946" w:wrap="none" w:hAnchor="page" w:x="728" w:y="3179"/>
        <w:widowControl w:val="0"/>
        <w:shd w:val="clear" w:color="auto" w:fill="auto"/>
        <w:bidi w:val="0"/>
        <w:spacing w:before="0" w:after="0" w:line="240" w:lineRule="auto"/>
        <w:ind w:left="0" w:right="0" w:firstLine="0"/>
        <w:jc w:val="left"/>
      </w:pPr>
      <w:r>
        <w:rPr>
          <w:rStyle w:val="CharStyle3"/>
        </w:rPr>
        <w:t>Číslo účtu:</w:t>
      </w:r>
    </w:p>
    <w:p>
      <w:pPr>
        <w:pStyle w:val="Style2"/>
        <w:keepNext w:val="0"/>
        <w:keepLines w:val="0"/>
        <w:framePr w:w="1397" w:h="946" w:wrap="none" w:hAnchor="page" w:x="728" w:y="3179"/>
        <w:widowControl w:val="0"/>
        <w:shd w:val="clear" w:color="auto" w:fill="auto"/>
        <w:bidi w:val="0"/>
        <w:spacing w:before="0" w:after="0" w:line="240" w:lineRule="auto"/>
        <w:ind w:left="0" w:right="0" w:firstLine="0"/>
        <w:jc w:val="left"/>
      </w:pPr>
      <w:r>
        <w:rPr>
          <w:rStyle w:val="CharStyle3"/>
        </w:rPr>
        <w:t>IČ:</w:t>
      </w:r>
    </w:p>
    <w:p>
      <w:pPr>
        <w:pStyle w:val="Style2"/>
        <w:keepNext w:val="0"/>
        <w:keepLines w:val="0"/>
        <w:framePr w:w="1397" w:h="946" w:wrap="none" w:hAnchor="page" w:x="728" w:y="3179"/>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framePr w:w="1397" w:h="946" w:wrap="none" w:hAnchor="page" w:x="728" w:y="3179"/>
        <w:widowControl w:val="0"/>
        <w:shd w:val="clear" w:color="auto" w:fill="auto"/>
        <w:bidi w:val="0"/>
        <w:spacing w:before="0" w:after="0" w:line="230" w:lineRule="auto"/>
        <w:ind w:left="0" w:right="0" w:firstLine="0"/>
        <w:jc w:val="left"/>
      </w:pPr>
      <w:r>
        <w:rPr>
          <w:rStyle w:val="CharStyle3"/>
        </w:rPr>
        <w:t>(dále jen zákazník)</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Zdravotnická záchranná služba Jihomoravského kraje</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Příspěvková organizace</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Kamenice 798/1 d</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625 00 Brno</w:t>
      </w:r>
    </w:p>
    <w:p>
      <w:pPr>
        <w:pStyle w:val="Style2"/>
        <w:keepNext w:val="0"/>
        <w:keepLines w:val="0"/>
        <w:framePr w:w="3869" w:h="1507" w:wrap="none" w:hAnchor="page" w:x="4208" w:y="2425"/>
        <w:widowControl w:val="0"/>
        <w:shd w:val="clear" w:color="auto" w:fill="auto"/>
        <w:bidi w:val="0"/>
        <w:spacing w:before="0" w:after="0" w:line="230" w:lineRule="auto"/>
        <w:ind w:left="0" w:right="0" w:firstLine="0"/>
        <w:jc w:val="left"/>
      </w:pPr>
      <w:r>
        <w:rPr>
          <w:rStyle w:val="CharStyle3"/>
        </w:rPr>
        <w:t>MUDr Hana Albrechtová, ředitelka</w:t>
      </w:r>
    </w:p>
    <w:p>
      <w:pPr>
        <w:pStyle w:val="Style2"/>
        <w:keepNext w:val="0"/>
        <w:keepLines w:val="0"/>
        <w:framePr w:w="3869" w:h="1507" w:wrap="none" w:hAnchor="page" w:x="4208" w:y="2425"/>
        <w:widowControl w:val="0"/>
        <w:shd w:val="clear" w:color="auto" w:fill="auto"/>
        <w:bidi w:val="0"/>
        <w:spacing w:before="0" w:after="0" w:line="240" w:lineRule="auto"/>
        <w:ind w:left="0" w:right="0" w:firstLine="160"/>
        <w:jc w:val="left"/>
      </w:pP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00346292</w:t>
      </w:r>
    </w:p>
    <w:p>
      <w:pPr>
        <w:pStyle w:val="Style2"/>
        <w:keepNext w:val="0"/>
        <w:keepLines w:val="0"/>
        <w:framePr w:w="3869" w:h="1507" w:wrap="none" w:hAnchor="page" w:x="4208" w:y="2425"/>
        <w:widowControl w:val="0"/>
        <w:shd w:val="clear" w:color="auto" w:fill="auto"/>
        <w:bidi w:val="0"/>
        <w:spacing w:before="0" w:after="0" w:line="240" w:lineRule="auto"/>
        <w:ind w:left="0" w:right="0" w:firstLine="0"/>
        <w:jc w:val="left"/>
      </w:pPr>
      <w:r>
        <w:rPr>
          <w:rStyle w:val="CharStyle3"/>
        </w:rPr>
        <w:t>CZ00346292</w:t>
      </w:r>
    </w:p>
    <w:p>
      <w:pPr>
        <w:pStyle w:val="Style13"/>
        <w:keepNext/>
        <w:keepLines/>
        <w:framePr w:w="1272" w:h="437" w:wrap="none" w:hAnchor="page" w:x="9200" w:y="2401"/>
        <w:widowControl w:val="0"/>
        <w:pBdr>
          <w:top w:val="single" w:sz="4" w:space="0" w:color="auto"/>
          <w:bottom w:val="single" w:sz="4" w:space="0" w:color="auto"/>
        </w:pBdr>
        <w:shd w:val="clear" w:color="auto" w:fill="auto"/>
        <w:bidi w:val="0"/>
        <w:spacing w:before="0" w:after="0" w:line="257" w:lineRule="auto"/>
        <w:ind w:left="0" w:right="0" w:firstLine="0"/>
        <w:jc w:val="center"/>
      </w:pPr>
      <w:bookmarkStart w:id="2" w:name="bookmark2"/>
      <w:r>
        <w:rPr>
          <w:rStyle w:val="CharStyle14"/>
          <w:b/>
          <w:bCs/>
          <w:u w:val="single"/>
        </w:rPr>
        <w:t>Číslo zákazníka:</w:t>
        <w:br/>
      </w:r>
      <w:r>
        <w:rPr>
          <w:rStyle w:val="CharStyle14"/>
          <w:b/>
          <w:bCs/>
        </w:rPr>
        <w:t>570259230</w:t>
      </w:r>
      <w:bookmarkEnd w:id="2"/>
    </w:p>
    <w:p>
      <w:pPr>
        <w:pStyle w:val="Style2"/>
        <w:keepNext w:val="0"/>
        <w:keepLines w:val="0"/>
        <w:framePr w:w="1387" w:h="182" w:wrap="none" w:hAnchor="page" w:x="9162" w:y="2991"/>
        <w:widowControl w:val="0"/>
        <w:shd w:val="clear" w:color="auto" w:fill="auto"/>
        <w:bidi w:val="0"/>
        <w:spacing w:before="0" w:after="0" w:line="240" w:lineRule="auto"/>
        <w:ind w:left="0" w:right="0" w:firstLine="0"/>
        <w:jc w:val="right"/>
      </w:pPr>
      <w:r>
        <w:rPr>
          <w:rStyle w:val="CharStyle3"/>
        </w:rPr>
        <w:t>Telefon zákazníka: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notePr>
            <w:pos w:val="pageBottom"/>
            <w:numFmt w:val="decimal"/>
            <w:numRestart w:val="continuous"/>
          </w:footnotePr>
          <w:pgSz w:w="11900" w:h="16840"/>
          <w:pgMar w:top="1798" w:right="536" w:bottom="403" w:left="646" w:header="1370" w:footer="3" w:gutter="0"/>
          <w:pgNumType w:start="1"/>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pPr>
      <w:r>
        <w:rPr>
          <w:rStyle w:val="CharStyle3"/>
        </w:rPr>
        <w:t>tuto</w:t>
      </w:r>
    </w:p>
    <w:p>
      <w:pPr>
        <w:pStyle w:val="Style2"/>
        <w:keepNext w:val="0"/>
        <w:keepLines w:val="0"/>
        <w:widowControl w:val="0"/>
        <w:shd w:val="clear" w:color="auto" w:fill="auto"/>
        <w:bidi w:val="0"/>
        <w:spacing w:before="0" w:after="180" w:line="240" w:lineRule="auto"/>
        <w:ind w:left="0" w:right="0" w:firstLine="0"/>
        <w:jc w:val="center"/>
      </w:pPr>
      <w:r>
        <w:rPr>
          <w:rStyle w:val="CharStyle3"/>
          <w:b/>
          <w:bCs/>
        </w:rPr>
        <w:t>Smlouvu o dlouhodobém pronájmu lahví na stlačené plyny</w:t>
        <w:br/>
        <w:t>číslo 2/2021/570259230</w:t>
      </w:r>
    </w:p>
    <w:p>
      <w:pPr>
        <w:pStyle w:val="Style2"/>
        <w:keepNext w:val="0"/>
        <w:keepLines w:val="0"/>
        <w:widowControl w:val="0"/>
        <w:numPr>
          <w:ilvl w:val="0"/>
          <w:numId w:val="1"/>
        </w:numPr>
        <w:shd w:val="clear" w:color="auto" w:fill="auto"/>
        <w:tabs>
          <w:tab w:pos="346" w:val="left"/>
        </w:tabs>
        <w:bidi w:val="0"/>
        <w:spacing w:before="0" w:after="180" w:line="240" w:lineRule="auto"/>
        <w:ind w:left="360" w:right="0" w:hanging="360"/>
        <w:jc w:val="left"/>
      </w:pPr>
      <w:r>
        <w:rPr>
          <w:rStyle w:val="CharStyle3"/>
        </w:rPr>
        <w:t>Zákazník získává jednorázovým zaplacením níže uvedeného dlouhodobého nájmu + DPH za každou láhev nebo distribuční prostředek na stlačené plyny Lindě Gas a.s. (dále jen Lindě) právo používat je v počtu a po dobu uvedenou níže.</w:t>
      </w:r>
    </w:p>
    <w:tbl>
      <w:tblPr>
        <w:tblOverlap w:val="never"/>
        <w:jc w:val="center"/>
        <w:tblLayout w:type="fixed"/>
      </w:tblPr>
      <w:tblGrid>
        <w:gridCol w:w="3130"/>
        <w:gridCol w:w="850"/>
        <w:gridCol w:w="1560"/>
        <w:gridCol w:w="1704"/>
        <w:gridCol w:w="1277"/>
        <w:gridCol w:w="1570"/>
      </w:tblGrid>
      <w:tr>
        <w:trPr>
          <w:trHeight w:val="61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33" w:lineRule="auto"/>
              <w:ind w:left="0" w:right="0" w:firstLine="0"/>
              <w:jc w:val="center"/>
              <w:rPr>
                <w:sz w:val="16"/>
                <w:szCs w:val="16"/>
              </w:rPr>
            </w:pPr>
            <w:r>
              <w:rPr>
                <w:rStyle w:val="CharStyle19"/>
                <w:b/>
                <w:bCs/>
                <w:sz w:val="16"/>
                <w:szCs w:val="16"/>
              </w:rPr>
              <w:t>Skupina lahví / Distr. prostředek</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Počet pronajat ých kusů</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Počátek smlouvy</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Konec smlouvy</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Nájemné/kus (Kč)</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Nájemné celkem bez DPH (Kč)</w:t>
            </w:r>
          </w:p>
        </w:tc>
      </w:tr>
      <w:tr>
        <w:trPr>
          <w:trHeight w:val="29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C01 Lahve-technické plyny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C09 Lahve - medicinální plyny kompozit</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8</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1.7.2021</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440"/>
              <w:jc w:val="left"/>
              <w:rPr>
                <w:sz w:val="16"/>
                <w:szCs w:val="16"/>
              </w:rPr>
            </w:pPr>
            <w:r>
              <w:rPr>
                <w:rStyle w:val="CharStyle19"/>
                <w:sz w:val="16"/>
                <w:szCs w:val="16"/>
              </w:rPr>
              <w:t>31.12.2021</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5110,-</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40.880,-</w:t>
            </w:r>
          </w:p>
        </w:tc>
      </w:tr>
      <w:tr>
        <w:trPr>
          <w:trHeight w:val="29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C11 Lahve - acetylen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C16 Lahve - medicinální plyny</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4</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1.7.2021</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440"/>
              <w:jc w:val="left"/>
              <w:rPr>
                <w:sz w:val="16"/>
                <w:szCs w:val="16"/>
              </w:rPr>
            </w:pPr>
            <w:r>
              <w:rPr>
                <w:rStyle w:val="CharStyle19"/>
                <w:sz w:val="16"/>
                <w:szCs w:val="16"/>
              </w:rPr>
              <w:t>31.12.2021</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1900,-</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7.600,-</w:t>
            </w:r>
          </w:p>
        </w:tc>
      </w:tr>
      <w:tr>
        <w:trPr>
          <w:trHeight w:val="31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C17 Lahve - medicinální plyny LIV</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632</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1.7.2021</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440"/>
              <w:jc w:val="left"/>
              <w:rPr>
                <w:sz w:val="16"/>
                <w:szCs w:val="16"/>
              </w:rPr>
            </w:pPr>
            <w:r>
              <w:rPr>
                <w:rStyle w:val="CharStyle19"/>
                <w:sz w:val="16"/>
                <w:szCs w:val="16"/>
              </w:rPr>
              <w:t>31.12.2021</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2208,-</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sz w:val="16"/>
                <w:szCs w:val="16"/>
              </w:rPr>
              <w:t>1.395.456,-</w:t>
            </w:r>
          </w:p>
        </w:tc>
      </w:tr>
      <w:tr>
        <w:trPr>
          <w:trHeight w:val="317"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sz w:val="16"/>
                <w:szCs w:val="16"/>
              </w:rPr>
              <w:t>CELKEM</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rStyle w:val="CharStyle19"/>
                <w:b/>
                <w:bCs/>
                <w:sz w:val="16"/>
                <w:szCs w:val="16"/>
              </w:rPr>
              <w:t>1.443.936,-</w:t>
            </w:r>
          </w:p>
        </w:tc>
      </w:tr>
    </w:tbl>
    <w:p>
      <w:pPr>
        <w:widowControl w:val="0"/>
        <w:spacing w:after="179" w:line="1" w:lineRule="exact"/>
      </w:pPr>
    </w:p>
    <w:p>
      <w:pPr>
        <w:pStyle w:val="Style2"/>
        <w:keepNext w:val="0"/>
        <w:keepLines w:val="0"/>
        <w:widowControl w:val="0"/>
        <w:numPr>
          <w:ilvl w:val="0"/>
          <w:numId w:val="1"/>
        </w:numPr>
        <w:shd w:val="clear" w:color="auto" w:fill="auto"/>
        <w:tabs>
          <w:tab w:pos="346" w:val="left"/>
        </w:tabs>
        <w:bidi w:val="0"/>
        <w:spacing w:before="0" w:after="180" w:line="233" w:lineRule="auto"/>
        <w:ind w:left="0" w:right="0" w:firstLine="0"/>
        <w:jc w:val="left"/>
      </w:pPr>
      <w:r>
        <w:rPr>
          <w:rStyle w:val="CharStyle3"/>
        </w:rPr>
        <w:t>Nájemné je zákazníkem hrazeno v hotovosti, resp. v den splatnosti uvedeném na účetním dokladu předem na celou dobu pronájmu.</w:t>
      </w:r>
    </w:p>
    <w:p>
      <w:pPr>
        <w:pStyle w:val="Style2"/>
        <w:keepNext w:val="0"/>
        <w:keepLines w:val="0"/>
        <w:widowControl w:val="0"/>
        <w:numPr>
          <w:ilvl w:val="0"/>
          <w:numId w:val="1"/>
        </w:numPr>
        <w:shd w:val="clear" w:color="auto" w:fill="auto"/>
        <w:tabs>
          <w:tab w:pos="346" w:val="left"/>
        </w:tabs>
        <w:bidi w:val="0"/>
        <w:spacing w:before="0" w:after="180" w:line="233" w:lineRule="auto"/>
        <w:ind w:left="360" w:right="0" w:hanging="360"/>
        <w:jc w:val="left"/>
      </w:pPr>
      <w:r>
        <w:rPr>
          <w:rStyle w:val="CharStyle3"/>
        </w:rPr>
        <w:t>Lahve a distribuční prostředky na stlačené plyny poskytnuté k používání mohou být použity jen k odběru plynů od Lindě, popřípadě od dodavatele pověřeného společností Lindě.</w:t>
      </w:r>
    </w:p>
    <w:p>
      <w:pPr>
        <w:pStyle w:val="Style2"/>
        <w:keepNext w:val="0"/>
        <w:keepLines w:val="0"/>
        <w:widowControl w:val="0"/>
        <w:numPr>
          <w:ilvl w:val="0"/>
          <w:numId w:val="1"/>
        </w:numPr>
        <w:shd w:val="clear" w:color="auto" w:fill="auto"/>
        <w:tabs>
          <w:tab w:pos="346" w:val="left"/>
        </w:tabs>
        <w:bidi w:val="0"/>
        <w:spacing w:before="0" w:after="0" w:line="240" w:lineRule="auto"/>
        <w:ind w:left="0" w:right="0" w:firstLine="0"/>
        <w:jc w:val="both"/>
      </w:pPr>
      <w:r>
        <w:rPr>
          <w:rStyle w:val="CharStyle3"/>
        </w:rPr>
        <w:t>Náklady na obsluhu, údržbu, předepsané tlakové zkoušky a náklady spojené s běžným opotřebením nese Lindě.</w:t>
      </w:r>
    </w:p>
    <w:p>
      <w:pPr>
        <w:pStyle w:val="Style2"/>
        <w:keepNext w:val="0"/>
        <w:keepLines w:val="0"/>
        <w:widowControl w:val="0"/>
        <w:shd w:val="clear" w:color="auto" w:fill="auto"/>
        <w:bidi w:val="0"/>
        <w:spacing w:before="0" w:after="180" w:line="240" w:lineRule="auto"/>
        <w:ind w:left="0" w:right="0" w:firstLine="360"/>
        <w:jc w:val="both"/>
      </w:pPr>
      <w:r>
        <w:rPr>
          <w:rStyle w:val="CharStyle3"/>
        </w:rPr>
        <w:t>Za zcizení, ztrátu, poškození nebo zničení přenechaných lahví a distribučních prostředků na stlačené plyny odpovídá zákazník.</w:t>
      </w:r>
    </w:p>
    <w:p>
      <w:pPr>
        <w:pStyle w:val="Style2"/>
        <w:keepNext w:val="0"/>
        <w:keepLines w:val="0"/>
        <w:widowControl w:val="0"/>
        <w:numPr>
          <w:ilvl w:val="0"/>
          <w:numId w:val="1"/>
        </w:numPr>
        <w:shd w:val="clear" w:color="auto" w:fill="auto"/>
        <w:tabs>
          <w:tab w:pos="346" w:val="left"/>
        </w:tabs>
        <w:bidi w:val="0"/>
        <w:spacing w:before="0" w:after="180" w:line="240" w:lineRule="auto"/>
        <w:ind w:left="360" w:right="0" w:hanging="360"/>
        <w:jc w:val="left"/>
      </w:pPr>
      <w:r>
        <w:rPr>
          <w:rStyle w:val="CharStyle3"/>
        </w:rPr>
        <w:t>Po skončení smlouvy (nebude-li uzavřena smlouva nová) bude účtováno nájemné a dodatkové nájemné podle právě platných sazeb, dokud lahve nebo distribuční prostředky na stlačené plyny nebudou vráceny příslušnému dodacímu místu Lindě. Období pro výpočet a vznik nároku a účtování dodatkového nájemného, tj. užívání lahví bez tzv. obrátky, počíná běžet 3 měsíce před skončením smlouvy.</w:t>
      </w:r>
    </w:p>
    <w:p>
      <w:pPr>
        <w:pStyle w:val="Style2"/>
        <w:keepNext w:val="0"/>
        <w:keepLines w:val="0"/>
        <w:widowControl w:val="0"/>
        <w:numPr>
          <w:ilvl w:val="0"/>
          <w:numId w:val="1"/>
        </w:numPr>
        <w:shd w:val="clear" w:color="auto" w:fill="auto"/>
        <w:tabs>
          <w:tab w:pos="346" w:val="left"/>
        </w:tabs>
        <w:bidi w:val="0"/>
        <w:spacing w:before="0" w:after="180" w:line="240" w:lineRule="auto"/>
        <w:ind w:left="360" w:right="0" w:hanging="360"/>
        <w:jc w:val="left"/>
      </w:pPr>
      <w:r>
        <w:rPr>
          <w:rStyle w:val="CharStyle3"/>
        </w:rPr>
        <w:t>V případě ukončení výše uvedené smlouvy mezi Lindě a zákazníkem během doby, za kterou je u</w:t>
      </w:r>
      <w:r>
        <w:rPr>
          <w:rStyle w:val="CharStyle3"/>
          <w:shd w:val="clear" w:color="auto" w:fill="000000"/>
        </w:rPr>
        <w:t>.</w:t>
      </w:r>
      <w:r>
        <w:rPr>
          <w:rStyle w:val="CharStyle3"/>
          <w:spacing w:val="1"/>
          <w:shd w:val="clear" w:color="auto" w:fill="000000"/>
        </w:rPr>
        <w:t>.</w:t>
      </w:r>
      <w:r>
        <w:rPr>
          <w:rStyle w:val="CharStyle3"/>
        </w:rPr>
        <w:t>razeno dlouhodobé nájemné, Lindě není povinna uhradit zákazníkovi jakoukoliv částku ze zaplaceného dlouhodobého pronájmu.</w:t>
      </w:r>
    </w:p>
    <w:p>
      <w:pPr>
        <w:pStyle w:val="Style2"/>
        <w:keepNext w:val="0"/>
        <w:keepLines w:val="0"/>
        <w:widowControl w:val="0"/>
        <w:numPr>
          <w:ilvl w:val="0"/>
          <w:numId w:val="1"/>
        </w:numPr>
        <w:shd w:val="clear" w:color="auto" w:fill="auto"/>
        <w:tabs>
          <w:tab w:pos="346" w:val="left"/>
        </w:tabs>
        <w:bidi w:val="0"/>
        <w:spacing w:before="0" w:after="0" w:line="240" w:lineRule="auto"/>
        <w:ind w:left="0" w:right="0" w:firstLine="0"/>
        <w:jc w:val="left"/>
      </w:pPr>
      <w:r>
        <w:rPr>
          <w:rStyle w:val="CharStyle3"/>
        </w:rPr>
        <w:t>Součástí této smlouvy jsou na druhé straně uvedené „Všeobecné obchodní podmínky společnosti Lindě Gas a.s. pro dodávky kapalných</w:t>
      </w:r>
    </w:p>
    <w:p>
      <w:pPr>
        <w:pStyle w:val="Style2"/>
        <w:keepNext w:val="0"/>
        <w:keepLines w:val="0"/>
        <w:widowControl w:val="0"/>
        <w:shd w:val="clear" w:color="auto" w:fill="auto"/>
        <w:bidi w:val="0"/>
        <w:spacing w:before="0" w:after="0" w:line="240" w:lineRule="auto"/>
        <w:ind w:left="0" w:right="0" w:firstLine="360"/>
        <w:jc w:val="both"/>
      </w:pPr>
      <w:r>
        <w:rPr>
          <w:rStyle w:val="CharStyle3"/>
        </w:rPr>
        <w:t>plynů, plynů v lahvích, paletách, pevných svazcích, kontejnerech a trajlerech a ostatních produktů a služeb“.</w:t>
      </w:r>
    </w:p>
    <w:p>
      <w:pPr>
        <w:pStyle w:val="Style22"/>
        <w:keepNext/>
        <w:keepLines/>
        <w:widowControl w:val="0"/>
        <w:shd w:val="clear" w:color="auto" w:fill="auto"/>
        <w:bidi w:val="0"/>
        <w:spacing w:before="0" w:after="0"/>
        <w:ind w:right="0" w:firstLine="0"/>
        <w:jc w:val="left"/>
      </w:pPr>
      <w:r>
        <w:drawing>
          <wp:anchor distT="0" distB="292735" distL="114300" distR="403860" simplePos="0" relativeHeight="125829378" behindDoc="0" locked="0" layoutInCell="1" allowOverlap="1">
            <wp:simplePos x="0" y="0"/>
            <wp:positionH relativeFrom="page">
              <wp:posOffset>410210</wp:posOffset>
            </wp:positionH>
            <wp:positionV relativeFrom="paragraph">
              <wp:posOffset>101600</wp:posOffset>
            </wp:positionV>
            <wp:extent cx="2553970" cy="104838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53970" cy="10483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848995</wp:posOffset>
                </wp:positionH>
                <wp:positionV relativeFrom="paragraph">
                  <wp:posOffset>1149985</wp:posOffset>
                </wp:positionV>
                <wp:extent cx="2401570" cy="292735"/>
                <wp:wrapNone/>
                <wp:docPr id="3" name="Shape 3"/>
                <a:graphic xmlns:a="http://schemas.openxmlformats.org/drawingml/2006/main">
                  <a:graphicData uri="http://schemas.microsoft.com/office/word/2010/wordprocessingShape">
                    <wps:wsp>
                      <wps:cNvSpPr txBox="1"/>
                      <wps:spPr>
                        <a:xfrm>
                          <a:ext cx="2401570" cy="29273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center"/>
                            </w:pPr>
                            <w:r>
                              <w:rPr>
                                <w:rStyle w:val="CharStyle17"/>
                              </w:rPr>
                              <w:t>Bc.Petr Štolcar, ved.prodeje Lindě Healthcare Lenka Nesvadbová, obch.zástupce Lindě Healthcare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6.849999999999994pt;margin-top:90.549999999999997pt;width:189.09999999999999pt;height:23.050000000000001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center"/>
                      </w:pPr>
                      <w:r>
                        <w:rPr>
                          <w:rStyle w:val="CharStyle17"/>
                        </w:rPr>
                        <w:t>Bc.Petr Štolcar, ved.prodeje Lindě Healthcare Lenka Nesvadbová, obch.zástupce Lindě Healthcare</w:t>
                      </w:r>
                    </w:p>
                  </w:txbxContent>
                </v:textbox>
                <w10:wrap anchorx="page"/>
              </v:shape>
            </w:pict>
          </mc:Fallback>
        </mc:AlternateContent>
      </w:r>
      <w:bookmarkStart w:id="4" w:name="bookmark4"/>
      <w:r>
        <w:rPr>
          <w:rStyle w:val="CharStyle23"/>
        </w:rPr>
        <w:t>Zdravotnická záchranná služba</w:t>
      </w:r>
      <w:bookmarkEnd w:id="4"/>
    </w:p>
    <w:p>
      <w:pPr>
        <w:pStyle w:val="Style24"/>
        <w:keepNext/>
        <w:keepLines/>
        <w:widowControl w:val="0"/>
        <w:shd w:val="clear" w:color="auto" w:fill="auto"/>
        <w:bidi w:val="0"/>
        <w:spacing w:before="0" w:after="0" w:line="226" w:lineRule="auto"/>
        <w:ind w:left="0" w:right="180" w:firstLine="0"/>
        <w:jc w:val="right"/>
      </w:pPr>
      <w:bookmarkStart w:id="6" w:name="bookmark6"/>
      <w:r>
        <w:rPr>
          <w:rStyle w:val="CharStyle25"/>
        </w:rPr>
        <w:t>Jihomoravského kraje, p.o.</w:t>
      </w:r>
      <w:bookmarkEnd w:id="6"/>
    </w:p>
    <w:p>
      <w:pPr>
        <w:pStyle w:val="Style24"/>
        <w:keepNext/>
        <w:keepLines/>
        <w:widowControl w:val="0"/>
        <w:shd w:val="clear" w:color="auto" w:fill="auto"/>
        <w:bidi w:val="0"/>
        <w:spacing w:before="0" w:after="2120" w:line="233" w:lineRule="auto"/>
        <w:ind w:left="0" w:right="0" w:firstLine="0"/>
        <w:jc w:val="left"/>
      </w:pPr>
      <w:r>
        <w:drawing>
          <wp:anchor distT="0" distB="121920" distL="250190" distR="0" simplePos="0" relativeHeight="125829379" behindDoc="0" locked="0" layoutInCell="1" allowOverlap="1">
            <wp:simplePos x="0" y="0"/>
            <wp:positionH relativeFrom="page">
              <wp:posOffset>5271770</wp:posOffset>
            </wp:positionH>
            <wp:positionV relativeFrom="paragraph">
              <wp:posOffset>25400</wp:posOffset>
            </wp:positionV>
            <wp:extent cx="1408430" cy="755650"/>
            <wp:wrapTight wrapText="right">
              <wp:wrapPolygon>
                <wp:start x="19683" y="0"/>
                <wp:lineTo x="21600" y="0"/>
                <wp:lineTo x="21600" y="21600"/>
                <wp:lineTo x="0" y="21600"/>
                <wp:lineTo x="0" y="5684"/>
                <wp:lineTo x="18982" y="5684"/>
                <wp:lineTo x="18982" y="3323"/>
                <wp:lineTo x="19683" y="3323"/>
                <wp:lineTo x="19683" y="0"/>
              </wp:wrapPolygon>
            </wp:wrapT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408430" cy="75565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5021580</wp:posOffset>
                </wp:positionH>
                <wp:positionV relativeFrom="paragraph">
                  <wp:posOffset>772160</wp:posOffset>
                </wp:positionV>
                <wp:extent cx="624840" cy="128270"/>
                <wp:wrapNone/>
                <wp:docPr id="7" name="Shape 7"/>
                <a:graphic xmlns:a="http://schemas.openxmlformats.org/drawingml/2006/main">
                  <a:graphicData uri="http://schemas.microsoft.com/office/word/2010/wordprocessingShape">
                    <wps:wsp>
                      <wps:cNvSpPr txBox="1"/>
                      <wps:spPr>
                        <a:xfrm>
                          <a:ext cx="624840" cy="1282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rStyle w:val="CharStyle17"/>
                              </w:rPr>
                              <w:t>za zákazníka</w:t>
                            </w:r>
                          </w:p>
                        </w:txbxContent>
                      </wps:txbx>
                      <wps:bodyPr lIns="0" tIns="0" rIns="0" bIns="0">
                        <a:noAutoFit/>
                      </wps:bodyPr>
                    </wps:wsp>
                  </a:graphicData>
                </a:graphic>
              </wp:anchor>
            </w:drawing>
          </mc:Choice>
          <mc:Fallback>
            <w:pict>
              <v:shape id="_x0000_s1033" type="#_x0000_t202" style="position:absolute;margin-left:395.40000000000003pt;margin-top:60.800000000000004pt;width:49.200000000000003pt;height:10.1pt;z-index:25165773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rStyle w:val="CharStyle17"/>
                        </w:rPr>
                        <w:t>za zákazníka</w:t>
                      </w:r>
                    </w:p>
                  </w:txbxContent>
                </v:textbox>
                <w10:wrap anchorx="page"/>
              </v:shape>
            </w:pict>
          </mc:Fallback>
        </mc:AlternateContent>
      </w:r>
      <w:bookmarkStart w:id="8" w:name="bookmark8"/>
      <w:r>
        <w:rPr>
          <w:rStyle w:val="CharStyle25"/>
        </w:rPr>
        <w:t>Kamenice 798/1 d, 5 00 Brno</w:t>
      </w:r>
      <w:bookmarkEnd w:id="8"/>
    </w:p>
    <w:p>
      <w:pPr>
        <w:pStyle w:val="Style26"/>
        <w:keepNext w:val="0"/>
        <w:keepLines w:val="0"/>
        <w:widowControl w:val="0"/>
        <w:shd w:val="clear" w:color="auto" w:fill="auto"/>
        <w:bidi w:val="0"/>
        <w:spacing w:before="0" w:after="120" w:line="240" w:lineRule="auto"/>
        <w:ind w:left="0" w:right="0" w:firstLine="0"/>
        <w:jc w:val="left"/>
      </w:pPr>
      <w:r>
        <w:rPr>
          <w:rStyle w:val="CharStyle27"/>
        </w:rPr>
        <w:t>Společnost je zapsaná u Městského soudu v Praze v Obchodním rejstříku oddíl B, vložka 411. Společnost je certifikovaná dle ISO 9001, ISO 14001 a je držitelem osvědčení Responsible Care.</w:t>
      </w:r>
    </w:p>
    <w:p>
      <w:pPr>
        <w:pStyle w:val="Style26"/>
        <w:keepNext w:val="0"/>
        <w:keepLines w:val="0"/>
        <w:widowControl w:val="0"/>
        <w:shd w:val="clear" w:color="auto" w:fill="auto"/>
        <w:bidi w:val="0"/>
        <w:spacing w:before="0" w:after="180" w:line="240" w:lineRule="auto"/>
        <w:ind w:left="0" w:right="0" w:firstLine="0"/>
        <w:jc w:val="left"/>
      </w:pPr>
      <w:r>
        <w:rPr>
          <w:rStyle w:val="CharStyle27"/>
        </w:rPr>
        <w:t>Form 1203/29 2014 04</w:t>
      </w:r>
    </w:p>
    <w:p>
      <w:pPr>
        <w:pStyle w:val="Style13"/>
        <w:keepNext/>
        <w:keepLines/>
        <w:widowControl w:val="0"/>
        <w:shd w:val="clear" w:color="auto" w:fill="auto"/>
        <w:bidi w:val="0"/>
        <w:spacing w:before="0" w:after="120" w:line="218" w:lineRule="auto"/>
        <w:ind w:left="0" w:right="0" w:firstLine="0"/>
        <w:jc w:val="both"/>
      </w:pPr>
      <w:bookmarkStart w:id="10" w:name="bookmark10"/>
      <w:r>
        <w:rPr>
          <w:rStyle w:val="CharStyle14"/>
          <w:b/>
          <w:bCs/>
        </w:rPr>
        <w:t>Všeobecné obchodní podmínky společnosti Lindě Gas a.s. pro dodávky kapalných plynů, plynů v lahvích, paletách, pevných svazcích, kontejnerech a trajlerech a ostatních produktů a služeb</w:t>
      </w:r>
      <w:bookmarkEnd w:id="10"/>
    </w:p>
    <w:p>
      <w:pPr>
        <w:pStyle w:val="Style28"/>
        <w:keepNext/>
        <w:keepLines/>
        <w:widowControl w:val="0"/>
        <w:numPr>
          <w:ilvl w:val="0"/>
          <w:numId w:val="3"/>
        </w:numPr>
        <w:shd w:val="clear" w:color="auto" w:fill="auto"/>
        <w:tabs>
          <w:tab w:pos="222" w:val="left"/>
        </w:tabs>
        <w:bidi w:val="0"/>
        <w:spacing w:before="0" w:after="0" w:line="228" w:lineRule="auto"/>
        <w:ind w:left="0" w:right="0" w:firstLine="0"/>
        <w:jc w:val="both"/>
      </w:pPr>
      <w:bookmarkStart w:id="12" w:name="bookmark12"/>
      <w:r>
        <w:rPr>
          <w:rStyle w:val="CharStyle29"/>
          <w:b/>
          <w:bCs/>
        </w:rPr>
        <w:t>Platnost</w:t>
      </w:r>
      <w:bookmarkEnd w:id="12"/>
    </w:p>
    <w:p>
      <w:pPr>
        <w:pStyle w:val="Style26"/>
        <w:keepNext w:val="0"/>
        <w:keepLines w:val="0"/>
        <w:widowControl w:val="0"/>
        <w:shd w:val="clear" w:color="auto" w:fill="auto"/>
        <w:bidi w:val="0"/>
        <w:spacing w:before="0" w:after="0" w:line="228" w:lineRule="auto"/>
        <w:ind w:left="0" w:right="0" w:firstLine="0"/>
        <w:jc w:val="both"/>
      </w:pPr>
      <w:r>
        <w:rPr>
          <w:rStyle w:val="CharStyle27"/>
        </w:rPr>
        <w:t>Všechny dodávky kapalných plynů uskutečňované v silničních a železničních cisternách a plynů dodávaných v lahvích, paletách, pevných svazcích a kontejnerech a trajlerech a dodávky ostatních produktů a služeb se řídi podle následujících všeobecných obchodních podmínek, nestanovi-li zvláštní písemné smlouvy jinak.</w:t>
      </w:r>
    </w:p>
    <w:p>
      <w:pPr>
        <w:pStyle w:val="Style26"/>
        <w:keepNext w:val="0"/>
        <w:keepLines w:val="0"/>
        <w:widowControl w:val="0"/>
        <w:shd w:val="clear" w:color="auto" w:fill="auto"/>
        <w:bidi w:val="0"/>
        <w:spacing w:before="0" w:line="228" w:lineRule="auto"/>
        <w:ind w:left="0" w:right="0" w:firstLine="0"/>
        <w:jc w:val="both"/>
      </w:pPr>
      <w:r>
        <w:rPr>
          <w:rStyle w:val="CharStyle27"/>
        </w:rPr>
        <w:t xml:space="preserve">Pod pojmem láhev se rozumí kovová tiakcvá nádoba pro přepravu plynů do 90 í vodního objemu. Paletou se rozumí přepravní zařízení, uzpůsobené pro přepravu jednotlivých lahví. Pevným svazkem lahvi se rozumí několik vzájemné propojených lahví na společném přepravním základě. Kontejnerem se rozumí mobilní nádoba pro přepravu plynů o objemu větším než 90 I vodního objemu. Trajlerem se </w:t>
      </w:r>
      <w:r>
        <w:rPr>
          <w:rStyle w:val="CharStyle27"/>
          <w:i/>
          <w:iCs/>
        </w:rPr>
        <w:t>rozumí silniční nebo železniční vůz,</w:t>
      </w:r>
      <w:r>
        <w:rPr>
          <w:rStyle w:val="CharStyle27"/>
        </w:rPr>
        <w:t xml:space="preserve"> kde </w:t>
      </w:r>
      <w:r>
        <w:rPr>
          <w:rStyle w:val="CharStyle27"/>
          <w:i/>
          <w:iCs/>
        </w:rPr>
        <w:t>na</w:t>
      </w:r>
      <w:r>
        <w:rPr>
          <w:rStyle w:val="CharStyle27"/>
        </w:rPr>
        <w:t xml:space="preserve"> podvozku je umístěno určité množství pevných svazků ocelových lahví, které jsou navzájem propojeny. Pod pojmem číslo zákazníka se rozumí evidenční číslo, které je zákazníkovi přidělené při prvním odběru zboží, a pod nímž je veden aktuální stav zákazníkem pronajatých lahví, palet, pevných svazků, kontejnerů a jeho závazků.</w:t>
      </w:r>
    </w:p>
    <w:p>
      <w:pPr>
        <w:pStyle w:val="Style28"/>
        <w:keepNext/>
        <w:keepLines/>
        <w:widowControl w:val="0"/>
        <w:numPr>
          <w:ilvl w:val="0"/>
          <w:numId w:val="3"/>
        </w:numPr>
        <w:shd w:val="clear" w:color="auto" w:fill="auto"/>
        <w:tabs>
          <w:tab w:pos="231" w:val="left"/>
        </w:tabs>
        <w:bidi w:val="0"/>
        <w:spacing w:before="0" w:after="0" w:line="230" w:lineRule="auto"/>
        <w:ind w:left="0" w:right="0" w:firstLine="0"/>
        <w:jc w:val="left"/>
      </w:pPr>
      <w:bookmarkStart w:id="14" w:name="bookmark14"/>
      <w:r>
        <w:rPr>
          <w:rStyle w:val="CharStyle29"/>
          <w:b/>
          <w:bCs/>
        </w:rPr>
        <w:t>Doprava a zacházení s plyny, lahvemi, paletami, pevnými svazky a kontejnery</w:t>
      </w:r>
      <w:bookmarkEnd w:id="14"/>
    </w:p>
    <w:p>
      <w:pPr>
        <w:pStyle w:val="Style26"/>
        <w:keepNext w:val="0"/>
        <w:keepLines w:val="0"/>
        <w:widowControl w:val="0"/>
        <w:shd w:val="clear" w:color="auto" w:fill="auto"/>
        <w:bidi w:val="0"/>
        <w:spacing w:before="0" w:line="230" w:lineRule="auto"/>
        <w:ind w:left="0" w:right="0" w:firstLine="0"/>
        <w:jc w:val="left"/>
      </w:pPr>
      <w:r>
        <w:rPr>
          <w:rStyle w:val="CharStyle27"/>
        </w:rPr>
        <w:t>Doprava plynů včetně lahví, palet, pevných svazků a kontejnerů se provádí z rampy prodejního místa Lindě Gas a.s. (dále jen „Lindě"). Při vlastním vyzvednuti nebo převzetí dopravcem, který je pověřen zákazníkem, je za provozně a přepravně bezpečnou nakládku a vykládku odpovědný zákazník, eventuálně pověřený dopravce. Zákazník musí dodržovat při zacházeni a přepravě technických plynů stanovené předpisy, obzvláště ustanoveni o bezpečnosti práce a předcházení úrazům, jakož i obecné uznávaná pravidla technologie včetně ČSN 078304 v jejich vždy platné podobě.</w:t>
      </w:r>
    </w:p>
    <w:p>
      <w:pPr>
        <w:pStyle w:val="Style28"/>
        <w:keepNext/>
        <w:keepLines/>
        <w:widowControl w:val="0"/>
        <w:numPr>
          <w:ilvl w:val="0"/>
          <w:numId w:val="3"/>
        </w:numPr>
        <w:shd w:val="clear" w:color="auto" w:fill="auto"/>
        <w:tabs>
          <w:tab w:pos="231" w:val="left"/>
        </w:tabs>
        <w:bidi w:val="0"/>
        <w:spacing w:before="0" w:after="0" w:line="240" w:lineRule="auto"/>
        <w:ind w:left="0" w:right="0" w:firstLine="0"/>
        <w:jc w:val="left"/>
      </w:pPr>
      <w:bookmarkStart w:id="16" w:name="bookmark16"/>
      <w:r>
        <w:rPr>
          <w:rStyle w:val="CharStyle29"/>
          <w:b/>
          <w:bCs/>
        </w:rPr>
        <w:t>Dodávky plynů</w:t>
      </w:r>
      <w:bookmarkEnd w:id="16"/>
    </w:p>
    <w:p>
      <w:pPr>
        <w:pStyle w:val="Style26"/>
        <w:keepNext w:val="0"/>
        <w:keepLines w:val="0"/>
        <w:widowControl w:val="0"/>
        <w:shd w:val="clear" w:color="auto" w:fill="auto"/>
        <w:bidi w:val="0"/>
        <w:spacing w:before="0" w:after="0" w:line="240" w:lineRule="auto"/>
        <w:ind w:left="0" w:right="0" w:firstLine="0"/>
        <w:jc w:val="both"/>
      </w:pPr>
      <w:r>
        <w:rPr>
          <w:rStyle w:val="CharStyle27"/>
        </w:rPr>
        <w:t>Zásobovací zařízení Lindě, do kterého zákazník odebírá kapalné technické plyny, je standardně vybaveno zařízením na dálkové sledování stavu zásoby technických plynů (služba Accura Liquid Management). Zákazník neobjednává jednotlivé dílčí dodávky, Lindě dodává zákazníkovi technické plyny na základě stavu zjištěného prostřednictvím tohoto zařízení tak, aby měl zákazník v zásobovacím zařízeni dostatečnou zásobu, s přihlédnutím k jeho obvyklé spotřebě.</w:t>
      </w:r>
    </w:p>
    <w:p>
      <w:pPr>
        <w:pStyle w:val="Style26"/>
        <w:keepNext w:val="0"/>
        <w:keepLines w:val="0"/>
        <w:widowControl w:val="0"/>
        <w:shd w:val="clear" w:color="auto" w:fill="auto"/>
        <w:bidi w:val="0"/>
        <w:spacing w:before="0" w:after="0" w:line="240" w:lineRule="auto"/>
        <w:ind w:left="0" w:right="0" w:firstLine="0"/>
        <w:jc w:val="left"/>
      </w:pPr>
      <w:r>
        <w:rPr>
          <w:rStyle w:val="CharStyle27"/>
        </w:rPr>
        <w:t>Zákazník je povinen umožnit Lindě dodávku technických plynů do zásobovacího zařízení kdykoliv 24 hodin denně a současně zajistit potvrzeni převzetí dodávky odpovědným zástupcem.</w:t>
      </w:r>
    </w:p>
    <w:p>
      <w:pPr>
        <w:pStyle w:val="Style26"/>
        <w:keepNext w:val="0"/>
        <w:keepLines w:val="0"/>
        <w:widowControl w:val="0"/>
        <w:shd w:val="clear" w:color="auto" w:fill="auto"/>
        <w:bidi w:val="0"/>
        <w:spacing w:before="0" w:after="0" w:line="240" w:lineRule="auto"/>
        <w:ind w:left="0" w:right="0" w:firstLine="0"/>
        <w:jc w:val="both"/>
      </w:pPr>
      <w:r>
        <w:rPr>
          <w:rStyle w:val="CharStyle27"/>
        </w:rPr>
        <w:t>Zákazník je dále povinen v případě plánovaného přerušení odběrů technických plynů ze zásobovacího zařízeni (např. z důvodu odstávky) nebo v phpadé plánovaného zvýšení spotřeby o více než 30 % oproti předchozí průměrné denni spotřebě, takovouto skutečnost Lindě písemně sdělit, nejpozději 24 hodin předem s uvedením doby trváni takové situace. Za písemnou formu sdělení se považuje též sděleni učiněné e-mailem nebo faxem. V případě porušeni této povinnosti ze strany zákazníka, Lindě negarantuje zajištěni dostatečné zásoby kapalných technických plynů v zásobovacím zařízeni Lindě.</w:t>
      </w:r>
    </w:p>
    <w:p>
      <w:pPr>
        <w:pStyle w:val="Style26"/>
        <w:keepNext w:val="0"/>
        <w:keepLines w:val="0"/>
        <w:widowControl w:val="0"/>
        <w:shd w:val="clear" w:color="auto" w:fill="auto"/>
        <w:bidi w:val="0"/>
        <w:spacing w:before="0" w:after="0" w:line="240" w:lineRule="auto"/>
        <w:ind w:left="0" w:right="0" w:firstLine="0"/>
        <w:jc w:val="both"/>
      </w:pPr>
      <w:r>
        <w:rPr>
          <w:rStyle w:val="CharStyle27"/>
        </w:rPr>
        <w:t xml:space="preserve">V ostatních případech určí zákazník jednotlivé dilči dodávky objednávkou, kde uvede množství, termín a místo složení. Objednávky jsou činěny zpravidla písemně, přičemž za písemnou formu se považuje též objednávka učiněná e-mailem, dopisem nebo faxem. Objednávky </w:t>
      </w:r>
      <w:r>
        <w:rPr>
          <w:rStyle w:val="CharStyle27"/>
          <w:i/>
          <w:iCs/>
        </w:rPr>
        <w:t>je</w:t>
      </w:r>
      <w:r>
        <w:rPr>
          <w:rStyle w:val="CharStyle27"/>
        </w:rPr>
        <w:t xml:space="preserve"> třeba zasílat přímo na dodavatelské místo Unde, a to v případě plynů dodávaných v silničních a železničních cisternách a trajlerech nejméně 3 pracovní dny před dnem dodáni, v případě ostatních plynů nejpczději do 11. hodin pracovního dne předcházejícímu dni dodání. Splnění pozdějších objednávek nemůže Lindě v krajních případech, zejména z přepravně kapacitních důvodů, garantovat V případě dodávky zboéi podléhající spotřební dani je zákazník povinen při objednání sdělit účel použití dle zákona o spotřebních daních.</w:t>
      </w:r>
    </w:p>
    <w:p>
      <w:pPr>
        <w:pStyle w:val="Style26"/>
        <w:keepNext w:val="0"/>
        <w:keepLines w:val="0"/>
        <w:widowControl w:val="0"/>
        <w:shd w:val="clear" w:color="auto" w:fill="auto"/>
        <w:bidi w:val="0"/>
        <w:spacing w:before="0" w:line="240" w:lineRule="auto"/>
        <w:ind w:left="0" w:right="0" w:firstLine="0"/>
        <w:jc w:val="both"/>
      </w:pPr>
      <w:r>
        <w:rPr>
          <w:rStyle w:val="CharStyle27"/>
        </w:rPr>
        <w:t>Cena plynů, ostatních produktů a služeb se řídí dle aktuálního ceníku společnosti Lindě.</w:t>
      </w:r>
    </w:p>
    <w:p>
      <w:pPr>
        <w:pStyle w:val="Style28"/>
        <w:keepNext/>
        <w:keepLines/>
        <w:widowControl w:val="0"/>
        <w:numPr>
          <w:ilvl w:val="0"/>
          <w:numId w:val="3"/>
        </w:numPr>
        <w:shd w:val="clear" w:color="auto" w:fill="auto"/>
        <w:tabs>
          <w:tab w:pos="231" w:val="left"/>
        </w:tabs>
        <w:bidi w:val="0"/>
        <w:spacing w:before="0" w:after="0" w:line="240" w:lineRule="auto"/>
        <w:ind w:left="0" w:right="0" w:firstLine="0"/>
        <w:jc w:val="left"/>
      </w:pPr>
      <w:bookmarkStart w:id="18" w:name="bookmark18"/>
      <w:r>
        <w:rPr>
          <w:rStyle w:val="CharStyle29"/>
          <w:b/>
          <w:bCs/>
        </w:rPr>
        <w:t>Pronájem lahví, palet, pevných svazků a kontejnerů (dále i „distribuční prostředky“)</w:t>
      </w:r>
      <w:bookmarkEnd w:id="18"/>
    </w:p>
    <w:p>
      <w:pPr>
        <w:pStyle w:val="Style26"/>
        <w:keepNext w:val="0"/>
        <w:keepLines w:val="0"/>
        <w:widowControl w:val="0"/>
        <w:shd w:val="clear" w:color="auto" w:fill="auto"/>
        <w:bidi w:val="0"/>
        <w:spacing w:before="0" w:after="0" w:line="240" w:lineRule="auto"/>
        <w:ind w:left="0" w:right="0" w:firstLine="0"/>
        <w:jc w:val="both"/>
      </w:pPr>
      <w:r>
        <w:rPr>
          <w:rStyle w:val="CharStyle27"/>
        </w:rPr>
        <w:t>Za pronajaté distribuční prostředky je zákazník povinen platit nájemné. Podpisem dodacího listu zákazníkem vzniká nájemní vztah. Výše denního nájemného a dodatkového nájemného se řídí podle platných sazeb tak, jak jsou tyto zveřejněny na prodejních místech Lindě, která je oprávněna tyto sazby upravovat i v průběhu nájemního vztahu.</w:t>
      </w:r>
    </w:p>
    <w:p>
      <w:pPr>
        <w:pStyle w:val="Style26"/>
        <w:keepNext w:val="0"/>
        <w:keepLines w:val="0"/>
        <w:widowControl w:val="0"/>
        <w:shd w:val="clear" w:color="auto" w:fill="auto"/>
        <w:bidi w:val="0"/>
        <w:spacing w:before="0" w:after="0" w:line="240" w:lineRule="auto"/>
        <w:ind w:left="0" w:right="0" w:firstLine="0"/>
        <w:jc w:val="both"/>
      </w:pPr>
      <w:r>
        <w:rPr>
          <w:rStyle w:val="CharStyle27"/>
        </w:rPr>
        <w:t xml:space="preserve">U distribučních prostředků Lindě, které má zákazník v pronájmu déle než tri měsíce bez obrátky (tzn. výměny prázdných za plné), zaplatí zákazník dodatkové nájemné. Denni a dodatkové nájemné je u distribučních prostředků evidovaných dle individuálního čárového kódu přirazeného k výrobnímu </w:t>
      </w:r>
      <w:r>
        <w:rPr>
          <w:rStyle w:val="CharStyle27"/>
          <w:i/>
          <w:iCs/>
        </w:rPr>
        <w:t>a evidenčnímu číslu distribučního</w:t>
      </w:r>
      <w:r>
        <w:rPr>
          <w:rStyle w:val="CharStyle27"/>
        </w:rPr>
        <w:t xml:space="preserve"> prostředku účtováno pro konkrétní distribuční prostředek. V případě nájemní smlouvy na dobu určitou končí nájem uplynutím doby nebo odstoupením ze zákonných důvodů. V případě nájmu na dobu neurčitou je možno nájem vypovědět kteroukoliv stranou s </w:t>
      </w:r>
      <w:r>
        <w:rPr>
          <w:rStyle w:val="CharStyle27"/>
          <w:i/>
          <w:iCs/>
        </w:rPr>
        <w:t>měsíční</w:t>
      </w:r>
      <w:r>
        <w:rPr>
          <w:rStyle w:val="CharStyle27"/>
        </w:rPr>
        <w:t xml:space="preserve"> výpovědní lhůtou. Účtování denního a dodatkového nájemného končí u distribučních prostředků evidovaných dle čárového kódu, vrácením konkrétního distribučního prostředku, který zákazník převzal.</w:t>
      </w:r>
    </w:p>
    <w:p>
      <w:pPr>
        <w:pStyle w:val="Style26"/>
        <w:keepNext w:val="0"/>
        <w:keepLines w:val="0"/>
        <w:widowControl w:val="0"/>
        <w:shd w:val="clear" w:color="auto" w:fill="auto"/>
        <w:bidi w:val="0"/>
        <w:spacing w:before="0" w:after="0" w:line="240" w:lineRule="auto"/>
        <w:ind w:left="0" w:right="0" w:firstLine="0"/>
        <w:jc w:val="left"/>
      </w:pPr>
      <w:r>
        <w:rPr>
          <w:rStyle w:val="CharStyle27"/>
        </w:rPr>
        <w:t>Zákazník odpovídá za zcizení, ztrátu, odcizeni, poškozeni, zničení nebo nevráceni jemu pronajatých distribučních prostředků. Přenechání distribučních prostředků třetí osobě není dovoleno.</w:t>
      </w:r>
    </w:p>
    <w:p>
      <w:pPr>
        <w:pStyle w:val="Style26"/>
        <w:keepNext w:val="0"/>
        <w:keepLines w:val="0"/>
        <w:widowControl w:val="0"/>
        <w:shd w:val="clear" w:color="auto" w:fill="auto"/>
        <w:bidi w:val="0"/>
        <w:spacing w:before="0" w:after="0" w:line="240" w:lineRule="auto"/>
        <w:ind w:left="0" w:right="0" w:firstLine="0"/>
        <w:jc w:val="left"/>
      </w:pPr>
      <w:r>
        <w:rPr>
          <w:rStyle w:val="CharStyle27"/>
        </w:rPr>
        <w:t>Je zakázáno, aby zákazník měnil na jemu přiděleném čisle zákazníka větší počet distribučních prostředků, než má na tomto čísle od Lindě pronajatých.</w:t>
      </w:r>
    </w:p>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Distribuční prostředky může zákazník kdykoli vrátit na své náklady prodejnímu místu Lindě v jeho prodejní době. O vrácení musí být zákazníkovi vydáno písemné potvrzeni prodejního místa Lindě. Správnost výpisu </w:t>
      </w:r>
      <w:r>
        <w:rPr>
          <w:rStyle w:val="CharStyle27"/>
          <w:i/>
          <w:iCs/>
        </w:rPr>
        <w:t>z</w:t>
      </w:r>
      <w:r>
        <w:rPr>
          <w:rStyle w:val="CharStyle27"/>
        </w:rPr>
        <w:t xml:space="preserve"> konta stavu pronajatých distribučních prostředků, který je součástí vyúčtováni nájemného, musí být zákazníkem bez prodlení přezkoumána. Námitky jsou přípustné do jednoho měsíce po obdržení vyúčtováni nájemného, jinak se má za to, že vyúčtování bylo zákazníkem uznáno za platné a počet distribučních prostředků zde uvedených je podkladem pro vyúčtování nájemného v následujícím období. Vyúčtováni nájemného (výpis z čísla zákazníka) má účinnost potvrzení počtu pronajatých distribučních prostředků.</w:t>
      </w:r>
    </w:p>
    <w:p>
      <w:pPr>
        <w:pStyle w:val="Style26"/>
        <w:keepNext w:val="0"/>
        <w:keepLines w:val="0"/>
        <w:widowControl w:val="0"/>
        <w:shd w:val="clear" w:color="auto" w:fill="auto"/>
        <w:bidi w:val="0"/>
        <w:spacing w:before="0" w:after="0" w:line="240" w:lineRule="auto"/>
        <w:ind w:left="0" w:right="0" w:firstLine="0"/>
        <w:jc w:val="both"/>
      </w:pPr>
      <w:r>
        <w:rPr>
          <w:rStyle w:val="CharStyle27"/>
        </w:rPr>
        <w:t>Zákazník je povinen neprodlené oznámit Lindě veškeré změny týkající se jeho osoby, které by mohly mit vliv na obchodní vztah mezi ním a Lindě, zejména změny jména, firmy, sídla (bydliště), provozovny, či změnu registrace k DPH. Zadržovací právo na pronajaté distribuční prostředky se po dobu trváni nájemní smlouvy vylučuje.</w:t>
      </w:r>
    </w:p>
    <w:p>
      <w:pPr>
        <w:pStyle w:val="Style26"/>
        <w:keepNext w:val="0"/>
        <w:keepLines w:val="0"/>
        <w:widowControl w:val="0"/>
        <w:shd w:val="clear" w:color="auto" w:fill="auto"/>
        <w:bidi w:val="0"/>
        <w:spacing w:before="0" w:line="240" w:lineRule="auto"/>
        <w:ind w:left="0" w:right="0" w:firstLine="0"/>
        <w:jc w:val="left"/>
      </w:pPr>
      <w:r>
        <w:rPr>
          <w:rStyle w:val="CharStyle27"/>
        </w:rPr>
        <w:t>Nájemné je splatné a je účtováno nejméně jednou měsíčné.</w:t>
      </w:r>
    </w:p>
    <w:p>
      <w:pPr>
        <w:pStyle w:val="Style28"/>
        <w:keepNext/>
        <w:keepLines/>
        <w:widowControl w:val="0"/>
        <w:numPr>
          <w:ilvl w:val="0"/>
          <w:numId w:val="3"/>
        </w:numPr>
        <w:shd w:val="clear" w:color="auto" w:fill="auto"/>
        <w:tabs>
          <w:tab w:pos="236" w:val="left"/>
        </w:tabs>
        <w:bidi w:val="0"/>
        <w:spacing w:before="0" w:after="0" w:line="240" w:lineRule="auto"/>
        <w:ind w:left="0" w:right="0" w:firstLine="0"/>
        <w:jc w:val="left"/>
      </w:pPr>
      <w:bookmarkStart w:id="20" w:name="bookmark20"/>
      <w:r>
        <w:rPr>
          <w:rStyle w:val="CharStyle29"/>
          <w:b/>
          <w:bCs/>
        </w:rPr>
        <w:t>Kauce (finanční jistina za vrácení majetku Lindě)</w:t>
      </w:r>
      <w:bookmarkEnd w:id="20"/>
    </w:p>
    <w:p>
      <w:pPr>
        <w:pStyle w:val="Style26"/>
        <w:keepNext w:val="0"/>
        <w:keepLines w:val="0"/>
        <w:widowControl w:val="0"/>
        <w:shd w:val="clear" w:color="auto" w:fill="auto"/>
        <w:bidi w:val="0"/>
        <w:spacing w:before="0" w:after="0" w:line="240" w:lineRule="auto"/>
        <w:ind w:left="0" w:right="0" w:firstLine="0"/>
        <w:jc w:val="both"/>
      </w:pPr>
      <w:r>
        <w:rPr>
          <w:rStyle w:val="CharStyle27"/>
        </w:rPr>
        <w:t>Lindě je oprávněna požadovat a zákazník je povinen platit za distribuční prostředky pronajaté zákazníkovi nezúročitelnou kauci až do výše pořizovací ceny distribučního prostředku. Vrácení kauce se provede po odevzdáni distribučních prostředků prodejnímu místu Lindě, po zápočtu nákladů vzniklých Lindě za náhradní opatření, odstraněni škod nebo nečistot a dalších závazků.</w:t>
      </w:r>
    </w:p>
    <w:p>
      <w:pPr>
        <w:pStyle w:val="Style26"/>
        <w:keepNext w:val="0"/>
        <w:keepLines w:val="0"/>
        <w:widowControl w:val="0"/>
        <w:shd w:val="clear" w:color="auto" w:fill="auto"/>
        <w:bidi w:val="0"/>
        <w:spacing w:before="0" w:line="240" w:lineRule="auto"/>
        <w:ind w:left="0" w:right="0" w:firstLine="0"/>
        <w:jc w:val="left"/>
      </w:pPr>
      <w:r>
        <w:rPr>
          <w:rStyle w:val="CharStyle27"/>
        </w:rPr>
        <w:t>Za den úhrady závazků zápočtem je považován den vyhotoveni zápočtu.</w:t>
      </w:r>
    </w:p>
    <w:p>
      <w:pPr>
        <w:pStyle w:val="Style28"/>
        <w:keepNext/>
        <w:keepLines/>
        <w:widowControl w:val="0"/>
        <w:numPr>
          <w:ilvl w:val="0"/>
          <w:numId w:val="3"/>
        </w:numPr>
        <w:shd w:val="clear" w:color="auto" w:fill="auto"/>
        <w:tabs>
          <w:tab w:pos="226" w:val="left"/>
        </w:tabs>
        <w:bidi w:val="0"/>
        <w:spacing w:before="0" w:after="0" w:line="240" w:lineRule="auto"/>
        <w:ind w:left="0" w:right="0" w:firstLine="0"/>
        <w:jc w:val="left"/>
      </w:pPr>
      <w:bookmarkStart w:id="22" w:name="bookmark22"/>
      <w:r>
        <w:rPr>
          <w:rStyle w:val="CharStyle29"/>
          <w:b/>
          <w:bCs/>
        </w:rPr>
        <w:t>Smluvní pokuta</w:t>
      </w:r>
      <w:bookmarkEnd w:id="22"/>
    </w:p>
    <w:p>
      <w:pPr>
        <w:pStyle w:val="Style26"/>
        <w:keepNext w:val="0"/>
        <w:keepLines w:val="0"/>
        <w:widowControl w:val="0"/>
        <w:shd w:val="clear" w:color="auto" w:fill="auto"/>
        <w:bidi w:val="0"/>
        <w:spacing w:before="0" w:line="240" w:lineRule="auto"/>
        <w:ind w:left="0" w:right="0" w:firstLine="0"/>
        <w:jc w:val="both"/>
      </w:pPr>
      <w:r>
        <w:rPr>
          <w:rStyle w:val="CharStyle27"/>
        </w:rPr>
        <w:t xml:space="preserve">Při zcizení, odcizení, poškození, zničení nebo nevráceni distribučních prostředků je zákazník povinen zaplatit Lindě smluvní pokutu za každou tlakovou láhev 4.000,- Kč, za každou </w:t>
      </w:r>
      <w:r>
        <w:rPr>
          <w:rStyle w:val="CharStyle27"/>
          <w:i/>
          <w:iCs/>
        </w:rPr>
        <w:t>přepravní</w:t>
      </w:r>
      <w:r>
        <w:rPr>
          <w:rStyle w:val="CharStyle27"/>
        </w:rPr>
        <w:t xml:space="preserve"> paletu 5.000,- Kč, za každý pevný svazek 80.000,- Kč (včetně lahví ve svazku) a za každý kontejner 100.000,- Kč. Smluvní pokutou není dotčeno právo Lindě na náhradu škody, kterou je oprávněna vymáhat samostatné.</w:t>
      </w:r>
    </w:p>
    <w:p>
      <w:pPr>
        <w:pStyle w:val="Style28"/>
        <w:keepNext/>
        <w:keepLines/>
        <w:widowControl w:val="0"/>
        <w:numPr>
          <w:ilvl w:val="0"/>
          <w:numId w:val="3"/>
        </w:numPr>
        <w:shd w:val="clear" w:color="auto" w:fill="auto"/>
        <w:tabs>
          <w:tab w:pos="231" w:val="left"/>
          <w:tab w:pos="9806" w:val="left"/>
        </w:tabs>
        <w:bidi w:val="0"/>
        <w:spacing w:before="0" w:after="0" w:line="240" w:lineRule="auto"/>
        <w:ind w:left="0" w:right="0" w:firstLine="0"/>
        <w:jc w:val="left"/>
      </w:pPr>
      <w:bookmarkStart w:id="24" w:name="bookmark24"/>
      <w:r>
        <w:rPr>
          <w:rStyle w:val="CharStyle29"/>
          <w:b/>
          <w:bCs/>
        </w:rPr>
        <w:t>Lahve zákazníků</w:t>
        <w:tab/>
        <w:t>.</w:t>
      </w:r>
      <w:bookmarkEnd w:id="24"/>
    </w:p>
    <w:p>
      <w:pPr>
        <w:pStyle w:val="Style26"/>
        <w:keepNext w:val="0"/>
        <w:keepLines w:val="0"/>
        <w:widowControl w:val="0"/>
        <w:shd w:val="clear" w:color="auto" w:fill="auto"/>
        <w:bidi w:val="0"/>
        <w:spacing w:before="0" w:line="240" w:lineRule="auto"/>
        <w:ind w:left="0" w:right="0" w:firstLine="0"/>
        <w:jc w:val="both"/>
      </w:pPr>
      <w:r>
        <w:rPr>
          <w:rStyle w:val="CharStyle27"/>
        </w:rPr>
        <w:t xml:space="preserve">Lahve zákazníků, které jsou jako takové označeny, jsou plněny podle objednávky zákazníků. Objednávka zákazníka současné </w:t>
      </w:r>
      <w:r>
        <w:rPr>
          <w:rStyle w:val="CharStyle27"/>
          <w:i/>
          <w:iCs/>
        </w:rPr>
        <w:t>zahrnuje</w:t>
      </w:r>
      <w:r>
        <w:rPr>
          <w:rStyle w:val="CharStyle27"/>
        </w:rPr>
        <w:t xml:space="preserve"> i potřebné přezkoušeni podle platných předpisu, které musí být podle těchto předpisů provedené před naplněním lahve v plnírně. Zákazník touto objednávkou rovněž potvrzuje i souhlas s vyúčtováním a cenou tohoto přezkoušení.</w:t>
      </w:r>
    </w:p>
    <w:p>
      <w:pPr>
        <w:pStyle w:val="Style28"/>
        <w:keepNext/>
        <w:keepLines/>
        <w:widowControl w:val="0"/>
        <w:numPr>
          <w:ilvl w:val="0"/>
          <w:numId w:val="3"/>
        </w:numPr>
        <w:shd w:val="clear" w:color="auto" w:fill="auto"/>
        <w:tabs>
          <w:tab w:pos="236" w:val="left"/>
        </w:tabs>
        <w:bidi w:val="0"/>
        <w:spacing w:before="0" w:after="0" w:line="240" w:lineRule="auto"/>
        <w:ind w:left="0" w:right="0" w:firstLine="0"/>
        <w:jc w:val="both"/>
      </w:pPr>
      <w:bookmarkStart w:id="26" w:name="bookmark26"/>
      <w:r>
        <w:rPr>
          <w:rStyle w:val="CharStyle29"/>
          <w:b/>
          <w:bCs/>
        </w:rPr>
        <w:t>Platební podmínky</w:t>
      </w:r>
      <w:bookmarkEnd w:id="26"/>
    </w:p>
    <w:p>
      <w:pPr>
        <w:pStyle w:val="Style26"/>
        <w:keepNext w:val="0"/>
        <w:keepLines w:val="0"/>
        <w:widowControl w:val="0"/>
        <w:shd w:val="clear" w:color="auto" w:fill="auto"/>
        <w:bidi w:val="0"/>
        <w:spacing w:before="0" w:line="240" w:lineRule="auto"/>
        <w:ind w:left="0" w:right="0" w:firstLine="0"/>
        <w:jc w:val="both"/>
      </w:pPr>
      <w:r>
        <w:rPr>
          <w:rStyle w:val="CharStyle27"/>
        </w:rPr>
        <w:t>Lindě je oprávněna požadovat platbu v hotovosti maximálně do hodnoty 350 000 Kč. Platbu předem poštovní poukázkou 6 šekem banky je oprávněna požadovat bez omezeni u těch zákazníku, kteří neprokáží spolehlivé svou platební schopnost nebo platební morálku. Veškeré platby provádí zákazník na základě daňových dokladů vystavených Lindě. Splatnost daňových dokladů je 14 dnů od data vystaveni, není-li na daňovém dokladu uvedena lhůta delší. V případě prodleni zákazníka se zaplacením kteréhokoliv daňcvého dokladu, je zákazník pcvinen zaplatit Lindě úrok z prodlení ve výši 0,02 % z dlužné částky za každý den prodlení. Kromě toho, je Lindě v takovém případě oprávněna přerušit dodávky do doby úplného zaplacení nebo odstoupit od smlouvy a požadovat okamžité vráceni distribučních prostředků.</w:t>
      </w:r>
    </w:p>
    <w:p>
      <w:pPr>
        <w:pStyle w:val="Style28"/>
        <w:keepNext/>
        <w:keepLines/>
        <w:widowControl w:val="0"/>
        <w:numPr>
          <w:ilvl w:val="0"/>
          <w:numId w:val="3"/>
        </w:numPr>
        <w:shd w:val="clear" w:color="auto" w:fill="auto"/>
        <w:tabs>
          <w:tab w:pos="231" w:val="left"/>
        </w:tabs>
        <w:bidi w:val="0"/>
        <w:spacing w:before="0" w:after="0" w:line="240" w:lineRule="auto"/>
        <w:ind w:left="0" w:right="0" w:firstLine="0"/>
        <w:jc w:val="left"/>
      </w:pPr>
      <w:bookmarkStart w:id="28" w:name="bookmark28"/>
      <w:r>
        <w:rPr>
          <w:rStyle w:val="CharStyle29"/>
          <w:b/>
          <w:bCs/>
        </w:rPr>
        <w:t>Výhrada vlastnictví</w:t>
      </w:r>
      <w:bookmarkEnd w:id="28"/>
    </w:p>
    <w:p>
      <w:pPr>
        <w:pStyle w:val="Style26"/>
        <w:keepNext w:val="0"/>
        <w:keepLines w:val="0"/>
        <w:widowControl w:val="0"/>
        <w:shd w:val="clear" w:color="auto" w:fill="auto"/>
        <w:bidi w:val="0"/>
        <w:spacing w:before="0" w:line="240" w:lineRule="auto"/>
        <w:ind w:left="0" w:right="0" w:firstLine="0"/>
        <w:jc w:val="left"/>
      </w:pPr>
      <w:r>
        <w:rPr>
          <w:rStyle w:val="CharStyle27"/>
        </w:rPr>
        <w:t>Až do úplného vyrovnáni závazků zákazníkem zůstává dodané zboží vlastnictvím Lindě.</w:t>
      </w:r>
    </w:p>
    <w:p>
      <w:pPr>
        <w:pStyle w:val="Style28"/>
        <w:keepNext/>
        <w:keepLines/>
        <w:widowControl w:val="0"/>
        <w:numPr>
          <w:ilvl w:val="0"/>
          <w:numId w:val="3"/>
        </w:numPr>
        <w:shd w:val="clear" w:color="auto" w:fill="auto"/>
        <w:tabs>
          <w:tab w:pos="294" w:val="left"/>
        </w:tabs>
        <w:bidi w:val="0"/>
        <w:spacing w:before="0" w:after="0" w:line="240" w:lineRule="auto"/>
        <w:ind w:left="0" w:right="0" w:firstLine="0"/>
        <w:jc w:val="left"/>
      </w:pPr>
      <w:bookmarkStart w:id="30" w:name="bookmark30"/>
      <w:r>
        <w:rPr>
          <w:rStyle w:val="CharStyle29"/>
          <w:b/>
          <w:bCs/>
        </w:rPr>
        <w:t>Prodlení</w:t>
      </w:r>
      <w:bookmarkEnd w:id="30"/>
    </w:p>
    <w:p>
      <w:pPr>
        <w:pStyle w:val="Style26"/>
        <w:keepNext w:val="0"/>
        <w:keepLines w:val="0"/>
        <w:widowControl w:val="0"/>
        <w:shd w:val="clear" w:color="auto" w:fill="auto"/>
        <w:bidi w:val="0"/>
        <w:spacing w:before="0" w:line="266" w:lineRule="auto"/>
        <w:ind w:left="0" w:right="0" w:firstLine="0"/>
        <w:jc w:val="left"/>
      </w:pPr>
      <w:r>
        <w:rPr>
          <w:rStyle w:val="CharStyle27"/>
        </w:rPr>
        <w:t xml:space="preserve">V případě opožděných dodávek nebo výpadku v dodávkách může zákazník, pokud Lindě nesplní dodávku v náhradní lhůté, odstoupit od smlouvy. Škody takto vzniklé jsou hrazeny podle zákona a těchto </w:t>
      </w:r>
      <w:r>
        <w:rPr>
          <w:rStyle w:val="CharStyle27"/>
          <w:i/>
          <w:iCs/>
        </w:rPr>
        <w:t>podmínek.</w:t>
      </w:r>
    </w:p>
    <w:p>
      <w:pPr>
        <w:pStyle w:val="Style28"/>
        <w:keepNext/>
        <w:keepLines/>
        <w:widowControl w:val="0"/>
        <w:numPr>
          <w:ilvl w:val="0"/>
          <w:numId w:val="3"/>
        </w:numPr>
        <w:shd w:val="clear" w:color="auto" w:fill="auto"/>
        <w:tabs>
          <w:tab w:pos="298" w:val="left"/>
        </w:tabs>
        <w:bidi w:val="0"/>
        <w:spacing w:before="0" w:after="0" w:line="240" w:lineRule="auto"/>
        <w:ind w:left="0" w:right="0" w:firstLine="0"/>
        <w:jc w:val="left"/>
      </w:pPr>
      <w:bookmarkStart w:id="32" w:name="bookmark32"/>
      <w:r>
        <w:rPr>
          <w:rStyle w:val="CharStyle29"/>
          <w:b/>
          <w:bCs/>
        </w:rPr>
        <w:t>Odpovědnost za škodu</w:t>
      </w:r>
      <w:bookmarkEnd w:id="32"/>
    </w:p>
    <w:p>
      <w:pPr>
        <w:pStyle w:val="Style26"/>
        <w:keepNext w:val="0"/>
        <w:keepLines w:val="0"/>
        <w:widowControl w:val="0"/>
        <w:shd w:val="clear" w:color="auto" w:fill="auto"/>
        <w:bidi w:val="0"/>
        <w:spacing w:before="0" w:line="240" w:lineRule="auto"/>
        <w:ind w:left="0" w:right="0" w:firstLine="0"/>
        <w:jc w:val="left"/>
      </w:pPr>
      <w:r>
        <w:rPr>
          <w:rStyle w:val="CharStyle27"/>
        </w:rPr>
        <w:t xml:space="preserve">V případě, </w:t>
      </w:r>
      <w:r>
        <w:rPr>
          <w:rStyle w:val="CharStyle27"/>
          <w:i/>
          <w:iCs/>
        </w:rPr>
        <w:t>zeje</w:t>
      </w:r>
      <w:r>
        <w:rPr>
          <w:rStyle w:val="CharStyle27"/>
        </w:rPr>
        <w:t xml:space="preserve"> Lindě za podmínek daných </w:t>
      </w:r>
      <w:r>
        <w:rPr>
          <w:rStyle w:val="CharStyle27"/>
          <w:i/>
          <w:iCs/>
        </w:rPr>
        <w:t>zákonem pcvinna</w:t>
      </w:r>
      <w:r>
        <w:rPr>
          <w:rStyle w:val="CharStyle27"/>
        </w:rPr>
        <w:t xml:space="preserve"> nahradit zákazníkovi způsobenou škodu, dohodly si smluvní strany rozsah náhrady škody tak, že Lindě uhradí zákazníkovi škodu v prokázané výši, nejvýše však částku 20 000 000,- Kč. Právo na náhradu škody a vydání bezdůvodného obohaceni se promlčují v tříleté promlčecí době.</w:t>
      </w:r>
    </w:p>
    <w:p>
      <w:pPr>
        <w:pStyle w:val="Style28"/>
        <w:keepNext/>
        <w:keepLines/>
        <w:widowControl w:val="0"/>
        <w:numPr>
          <w:ilvl w:val="0"/>
          <w:numId w:val="3"/>
        </w:numPr>
        <w:shd w:val="clear" w:color="auto" w:fill="auto"/>
        <w:tabs>
          <w:tab w:pos="298" w:val="left"/>
        </w:tabs>
        <w:bidi w:val="0"/>
        <w:spacing w:before="0" w:after="0" w:line="240" w:lineRule="auto"/>
        <w:ind w:left="0" w:right="0" w:firstLine="0"/>
        <w:jc w:val="left"/>
      </w:pPr>
      <w:bookmarkStart w:id="34" w:name="bookmark34"/>
      <w:r>
        <w:rPr>
          <w:rStyle w:val="CharStyle29"/>
          <w:b/>
          <w:bCs/>
        </w:rPr>
        <w:t>Záruka za vadné plnění</w:t>
      </w:r>
      <w:bookmarkEnd w:id="34"/>
    </w:p>
    <w:p>
      <w:pPr>
        <w:pStyle w:val="Style26"/>
        <w:keepNext w:val="0"/>
        <w:keepLines w:val="0"/>
        <w:widowControl w:val="0"/>
        <w:shd w:val="clear" w:color="auto" w:fill="auto"/>
        <w:bidi w:val="0"/>
        <w:spacing w:before="0" w:line="240" w:lineRule="auto"/>
        <w:ind w:left="0" w:right="0" w:firstLine="0"/>
        <w:jc w:val="both"/>
      </w:pPr>
      <w:r>
        <w:rPr>
          <w:rStyle w:val="CharStyle27"/>
        </w:rPr>
        <w:t>Pokud je dodávka vadná nebo neodpovídá množství dodaného plynu, má zákazník právo uplatnit reklamaci, která se řídi platnou legislativou a vnitřními předpisy Lindě. Při reklamaci kvality plynu nesmí být spotřebováno více než 50 % uvedeného množství náplně, a to z důvodu možného rádného provedeni kontrolních analýz. Distribuční prostředky s vadným zbožím nesmějí být dále používány a po nápadném označení musí být vraceny prodejnímu místu. V tomto pňpadé může zákazník při vyloučeni dalších nároků požadovat bezplatné opakovanou dodávku. Nepodaří-lí se toto dodatečné plnění, může zákazník podle svého výběru požadovat snížení kupní ceny vadné dodávky a nebo požadovat zrušení dodávky.</w:t>
      </w:r>
    </w:p>
    <w:p>
      <w:pPr>
        <w:pStyle w:val="Style26"/>
        <w:keepNext w:val="0"/>
        <w:keepLines w:val="0"/>
        <w:widowControl w:val="0"/>
        <w:shd w:val="clear" w:color="auto" w:fill="auto"/>
        <w:tabs>
          <w:tab w:pos="523" w:val="left"/>
        </w:tabs>
        <w:bidi w:val="0"/>
        <w:spacing w:before="0" w:after="0" w:line="240" w:lineRule="auto"/>
        <w:ind w:left="0" w:right="0" w:firstLine="0"/>
        <w:jc w:val="left"/>
      </w:pPr>
      <w:r>
        <w:rPr>
          <w:rStyle w:val="CharStyle27"/>
        </w:rPr>
        <w:t>io.</w:t>
        <w:tab/>
        <w:t>iii^.</w:t>
      </w:r>
    </w:p>
    <w:p>
      <w:pPr>
        <w:pStyle w:val="Style26"/>
        <w:keepNext w:val="0"/>
        <w:keepLines w:val="0"/>
        <w:widowControl w:val="0"/>
        <w:shd w:val="clear" w:color="auto" w:fill="auto"/>
        <w:bidi w:val="0"/>
        <w:spacing w:before="0" w:line="266" w:lineRule="auto"/>
        <w:ind w:left="0" w:right="0" w:firstLine="0"/>
        <w:jc w:val="both"/>
      </w:pPr>
      <w:r>
        <w:rPr>
          <w:rStyle w:val="CharStyle27"/>
        </w:rP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w:t>
      </w:r>
    </w:p>
    <w:p>
      <w:pPr>
        <w:pStyle w:val="Style28"/>
        <w:keepNext/>
        <w:keepLines/>
        <w:widowControl w:val="0"/>
        <w:numPr>
          <w:ilvl w:val="0"/>
          <w:numId w:val="5"/>
        </w:numPr>
        <w:shd w:val="clear" w:color="auto" w:fill="auto"/>
        <w:tabs>
          <w:tab w:pos="289" w:val="left"/>
        </w:tabs>
        <w:bidi w:val="0"/>
        <w:spacing w:before="0" w:after="0" w:line="240" w:lineRule="auto"/>
        <w:ind w:left="0" w:right="0" w:firstLine="0"/>
        <w:jc w:val="left"/>
      </w:pPr>
      <w:bookmarkStart w:id="36" w:name="bookmark36"/>
      <w:r>
        <w:rPr>
          <w:rStyle w:val="CharStyle29"/>
          <w:b/>
          <w:bCs/>
        </w:rPr>
        <w:t>Zajištění množství</w:t>
      </w:r>
      <w:bookmarkEnd w:id="36"/>
    </w:p>
    <w:p>
      <w:pPr>
        <w:pStyle w:val="Style26"/>
        <w:keepNext w:val="0"/>
        <w:keepLines w:val="0"/>
        <w:widowControl w:val="0"/>
        <w:shd w:val="clear" w:color="auto" w:fill="auto"/>
        <w:bidi w:val="0"/>
        <w:spacing w:before="0" w:line="209" w:lineRule="auto"/>
        <w:ind w:left="0" w:right="0" w:firstLine="0"/>
        <w:jc w:val="left"/>
      </w:pPr>
      <w:r>
        <w:rPr>
          <w:rStyle w:val="CharStyle27"/>
        </w:rPr>
        <w:t>Pokud je údaj o množství v lahvích v "m</w:t>
      </w:r>
      <w:r>
        <w:rPr>
          <w:rStyle w:val="CharStyle27"/>
          <w:vertAlign w:val="superscript"/>
        </w:rPr>
        <w:t>3</w:t>
      </w:r>
      <w:r>
        <w:rPr>
          <w:rStyle w:val="CharStyle27"/>
        </w:rPr>
        <w:t>", pak se vztahuje na stav plynu při 15°C a tlaku 0,1 MPa. Zbytkové obsahy u vrácených distribučních prostředků nepodléhají náhradě.</w:t>
      </w:r>
    </w:p>
    <w:p>
      <w:pPr>
        <w:pStyle w:val="Style28"/>
        <w:keepNext/>
        <w:keepLines/>
        <w:widowControl w:val="0"/>
        <w:numPr>
          <w:ilvl w:val="0"/>
          <w:numId w:val="5"/>
        </w:numPr>
        <w:shd w:val="clear" w:color="auto" w:fill="auto"/>
        <w:tabs>
          <w:tab w:pos="294" w:val="left"/>
        </w:tabs>
        <w:bidi w:val="0"/>
        <w:spacing w:before="0" w:after="0" w:line="257" w:lineRule="auto"/>
        <w:ind w:left="0" w:right="0" w:firstLine="0"/>
        <w:jc w:val="left"/>
      </w:pPr>
      <w:bookmarkStart w:id="38" w:name="bookmark38"/>
      <w:r>
        <w:rPr>
          <w:rStyle w:val="CharStyle29"/>
          <w:b/>
          <w:bCs/>
        </w:rPr>
        <w:t>Dodávky prostřednictvím třetí osoby</w:t>
      </w:r>
      <w:bookmarkEnd w:id="38"/>
    </w:p>
    <w:p>
      <w:pPr>
        <w:pStyle w:val="Style26"/>
        <w:keepNext w:val="0"/>
        <w:keepLines w:val="0"/>
        <w:widowControl w:val="0"/>
        <w:shd w:val="clear" w:color="auto" w:fill="auto"/>
        <w:bidi w:val="0"/>
        <w:spacing w:before="0" w:line="257" w:lineRule="auto"/>
        <w:ind w:left="0" w:right="0" w:firstLine="0"/>
        <w:jc w:val="left"/>
      </w:pPr>
      <w:r>
        <w:rPr>
          <w:rStyle w:val="CharStyle27"/>
        </w:rPr>
        <w:t>Lindě je oprávněna splnit své dodavatelské povinnosti prostřednictvím třetí osoby.</w:t>
      </w:r>
    </w:p>
    <w:p>
      <w:pPr>
        <w:pStyle w:val="Style28"/>
        <w:keepNext/>
        <w:keepLines/>
        <w:widowControl w:val="0"/>
        <w:numPr>
          <w:ilvl w:val="0"/>
          <w:numId w:val="5"/>
        </w:numPr>
        <w:shd w:val="clear" w:color="auto" w:fill="auto"/>
        <w:tabs>
          <w:tab w:pos="294" w:val="left"/>
        </w:tabs>
        <w:bidi w:val="0"/>
        <w:spacing w:before="0" w:after="0" w:line="240" w:lineRule="auto"/>
        <w:ind w:left="0" w:right="0" w:firstLine="0"/>
        <w:jc w:val="left"/>
      </w:pPr>
      <w:bookmarkStart w:id="40" w:name="bookmark40"/>
      <w:r>
        <w:rPr>
          <w:rStyle w:val="CharStyle29"/>
          <w:b/>
          <w:bCs/>
        </w:rPr>
        <w:t>Poplatky</w:t>
      </w:r>
      <w:bookmarkEnd w:id="40"/>
    </w:p>
    <w:p>
      <w:pPr>
        <w:pStyle w:val="Style26"/>
        <w:keepNext w:val="0"/>
        <w:keepLines w:val="0"/>
        <w:widowControl w:val="0"/>
        <w:shd w:val="clear" w:color="auto" w:fill="auto"/>
        <w:bidi w:val="0"/>
        <w:spacing w:before="0" w:line="240" w:lineRule="auto"/>
        <w:ind w:left="0" w:right="0" w:firstLine="0"/>
        <w:jc w:val="both"/>
      </w:pPr>
      <w:r>
        <w:rPr>
          <w:rStyle w:val="CharStyle27"/>
        </w:rPr>
        <w:t xml:space="preserve">Společné s cenou dodaného plynu bude zákazníkovi účtován i poplatek ADR, silniční a energetický poplatek za každou láhev, svazek lahvi, mobilní zásobník, trajler a dodávku kapalných plynů do stabilního zásobníku, poplatek </w:t>
      </w:r>
      <w:r>
        <w:rPr>
          <w:rStyle w:val="CharStyle27"/>
          <w:i/>
          <w:iCs/>
        </w:rPr>
        <w:t>za příslušný atest, předaný</w:t>
      </w:r>
      <w:r>
        <w:rPr>
          <w:rStyle w:val="CharStyle27"/>
        </w:rPr>
        <w:t xml:space="preserve"> zákazníkovi vždy s dodávkou jednotlivého druhu plynu a další poplatky stanovené ceníkem Lindě. Výše poplatků se řídi podle aktuálně platných sazeb tak, jak jsou tyto zveřejněny na prodejních místech Lindě, není-li smlouvou stanoveno jinak.</w:t>
      </w:r>
    </w:p>
    <w:p>
      <w:pPr>
        <w:pStyle w:val="Style28"/>
        <w:keepNext/>
        <w:keepLines/>
        <w:widowControl w:val="0"/>
        <w:numPr>
          <w:ilvl w:val="0"/>
          <w:numId w:val="5"/>
        </w:numPr>
        <w:shd w:val="clear" w:color="auto" w:fill="auto"/>
        <w:tabs>
          <w:tab w:pos="298" w:val="left"/>
        </w:tabs>
        <w:bidi w:val="0"/>
        <w:spacing w:before="0" w:after="0" w:line="240" w:lineRule="auto"/>
        <w:ind w:left="0" w:right="0" w:firstLine="0"/>
        <w:jc w:val="left"/>
      </w:pPr>
      <w:bookmarkStart w:id="42" w:name="bookmark42"/>
      <w:r>
        <w:rPr>
          <w:rStyle w:val="CharStyle29"/>
          <w:b/>
          <w:bCs/>
        </w:rPr>
        <w:t>Změny smlouvy</w:t>
      </w:r>
      <w:bookmarkEnd w:id="42"/>
    </w:p>
    <w:p>
      <w:pPr>
        <w:pStyle w:val="Style26"/>
        <w:keepNext w:val="0"/>
        <w:keepLines w:val="0"/>
        <w:widowControl w:val="0"/>
        <w:shd w:val="clear" w:color="auto" w:fill="auto"/>
        <w:bidi w:val="0"/>
        <w:spacing w:before="0" w:line="226" w:lineRule="auto"/>
        <w:ind w:left="0" w:right="0" w:firstLine="0"/>
        <w:jc w:val="left"/>
      </w:pPr>
      <w:r>
        <w:rPr>
          <w:rStyle w:val="CharStyle27"/>
        </w:rPr>
        <w:t>Změny a doplňky sjednaných podmínek se vyžadují písemnou formou. Písemnou formou se nerozumí forma elektronické komunikace.</w:t>
      </w:r>
    </w:p>
    <w:p>
      <w:pPr>
        <w:pStyle w:val="Style28"/>
        <w:keepNext/>
        <w:keepLines/>
        <w:widowControl w:val="0"/>
        <w:numPr>
          <w:ilvl w:val="0"/>
          <w:numId w:val="5"/>
        </w:numPr>
        <w:shd w:val="clear" w:color="auto" w:fill="auto"/>
        <w:tabs>
          <w:tab w:pos="294" w:val="left"/>
        </w:tabs>
        <w:bidi w:val="0"/>
        <w:spacing w:before="0" w:after="0" w:line="240" w:lineRule="auto"/>
        <w:ind w:left="0" w:right="0" w:firstLine="0"/>
        <w:jc w:val="left"/>
      </w:pPr>
      <w:bookmarkStart w:id="44" w:name="bookmark44"/>
      <w:r>
        <w:rPr>
          <w:rStyle w:val="CharStyle29"/>
          <w:b/>
          <w:bCs/>
        </w:rPr>
        <w:t>Řešení sporů</w:t>
      </w:r>
      <w:bookmarkEnd w:id="44"/>
    </w:p>
    <w:p>
      <w:pPr>
        <w:pStyle w:val="Style26"/>
        <w:keepNext w:val="0"/>
        <w:keepLines w:val="0"/>
        <w:widowControl w:val="0"/>
        <w:shd w:val="clear" w:color="auto" w:fill="auto"/>
        <w:bidi w:val="0"/>
        <w:spacing w:before="0" w:line="216" w:lineRule="auto"/>
        <w:ind w:left="0" w:right="0" w:firstLine="0"/>
        <w:jc w:val="left"/>
      </w:pPr>
      <w:r>
        <w:rPr>
          <w:rStyle w:val="CharStyle27"/>
        </w:rPr>
        <w:t>Pro řešeni všech sporů mezi zákazníkem a Lindě je, za dodržení příslušnosti věcné, místné příslušný soud, v jehož obvodu je sídlo Lindě.</w:t>
      </w:r>
    </w:p>
    <w:p>
      <w:pPr>
        <w:pStyle w:val="Style28"/>
        <w:keepNext/>
        <w:keepLines/>
        <w:widowControl w:val="0"/>
        <w:numPr>
          <w:ilvl w:val="0"/>
          <w:numId w:val="5"/>
        </w:numPr>
        <w:shd w:val="clear" w:color="auto" w:fill="auto"/>
        <w:tabs>
          <w:tab w:pos="294" w:val="left"/>
          <w:tab w:pos="8438" w:val="left"/>
        </w:tabs>
        <w:bidi w:val="0"/>
        <w:spacing w:before="0" w:after="0" w:line="240" w:lineRule="auto"/>
        <w:ind w:left="0" w:right="0" w:firstLine="0"/>
        <w:jc w:val="left"/>
      </w:pPr>
      <w:bookmarkStart w:id="46" w:name="bookmark46"/>
      <w:r>
        <w:rPr>
          <w:rStyle w:val="CharStyle29"/>
          <w:b/>
          <w:bCs/>
        </w:rPr>
        <w:t>Prohlášení o shodě</w:t>
        <w:tab/>
        <w:t>...</w:t>
      </w:r>
      <w:bookmarkEnd w:id="46"/>
    </w:p>
    <w:p>
      <w:pPr>
        <w:pStyle w:val="Style26"/>
        <w:keepNext w:val="0"/>
        <w:keepLines w:val="0"/>
        <w:widowControl w:val="0"/>
        <w:shd w:val="clear" w:color="auto" w:fill="auto"/>
        <w:bidi w:val="0"/>
        <w:spacing w:before="0" w:line="209" w:lineRule="auto"/>
        <w:ind w:left="0" w:right="0" w:firstLine="0"/>
        <w:jc w:val="left"/>
      </w:pPr>
      <w:r>
        <w:rPr>
          <w:rStyle w:val="CharStyle27"/>
        </w:rPr>
        <w:t>Lindě vlastni "Prohlášení oshodé” na ocelové tlakové lahve včetně svařovaných, které mu dodavatel lahvi poskytuje na lahve vyrobené po 1.9.1997, používané k distribuci plynu.</w:t>
      </w:r>
    </w:p>
    <w:p>
      <w:pPr>
        <w:pStyle w:val="Style26"/>
        <w:keepNext w:val="0"/>
        <w:keepLines w:val="0"/>
        <w:widowControl w:val="0"/>
        <w:numPr>
          <w:ilvl w:val="0"/>
          <w:numId w:val="5"/>
        </w:numPr>
        <w:shd w:val="clear" w:color="auto" w:fill="auto"/>
        <w:tabs>
          <w:tab w:pos="303" w:val="left"/>
        </w:tabs>
        <w:bidi w:val="0"/>
        <w:spacing w:before="0" w:line="257" w:lineRule="auto"/>
        <w:ind w:left="0" w:right="0" w:firstLine="0"/>
        <w:jc w:val="both"/>
      </w:pPr>
      <w:r>
        <w:rPr>
          <w:rStyle w:val="CharStyle27"/>
          <w:b/>
          <w:bCs/>
          <w:sz w:val="12"/>
          <w:szCs w:val="12"/>
        </w:rPr>
        <w:t>Výrobky vyhovují ČSN nebo specifikaci Lindě.</w:t>
      </w:r>
    </w:p>
    <w:p>
      <w:pPr>
        <w:pStyle w:val="Style26"/>
        <w:keepNext w:val="0"/>
        <w:keepLines w:val="0"/>
        <w:widowControl w:val="0"/>
        <w:numPr>
          <w:ilvl w:val="0"/>
          <w:numId w:val="5"/>
        </w:numPr>
        <w:shd w:val="clear" w:color="auto" w:fill="auto"/>
        <w:tabs>
          <w:tab w:pos="298" w:val="left"/>
        </w:tabs>
        <w:bidi w:val="0"/>
        <w:spacing w:before="0" w:line="257" w:lineRule="auto"/>
        <w:ind w:left="0" w:right="0" w:firstLine="0"/>
        <w:jc w:val="left"/>
      </w:pPr>
      <w:r>
        <w:rPr>
          <w:rStyle w:val="CharStyle27"/>
          <w:b/>
          <w:bCs/>
          <w:sz w:val="12"/>
          <w:szCs w:val="12"/>
        </w:rPr>
        <w:t>Tyto Všeobecné podmínky (Form 1211/20) jsou platné od 1.4.2014.</w:t>
      </w:r>
    </w:p>
    <w:sectPr>
      <w:footnotePr>
        <w:pos w:val="pageBottom"/>
        <w:numFmt w:val="decimal"/>
        <w:numRestart w:val="continuous"/>
      </w:footnotePr>
      <w:type w:val="continuous"/>
      <w:pgSz w:w="11900" w:h="16840"/>
      <w:pgMar w:top="919" w:right="543" w:bottom="683" w:left="711" w:header="491"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abstractNum>
  <w:abstractNum w:abstractNumId="4">
    <w:multiLevelType w:val="multilevel"/>
    <w:lvl w:ilvl="0">
      <w:start w:val="14"/>
      <w:numFmt w:val="decimal"/>
      <w:lvlText w:val="%1."/>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12">
    <w:name w:val="Nadpis #1_"/>
    <w:basedOn w:val="DefaultParagraphFont"/>
    <w:link w:val="Style11"/>
    <w:rPr>
      <w:rFonts w:ascii="Arial" w:eastAsia="Arial" w:hAnsi="Arial" w:cs="Arial"/>
      <w:b w:val="0"/>
      <w:bCs w:val="0"/>
      <w:i w:val="0"/>
      <w:iCs w:val="0"/>
      <w:smallCaps w:val="0"/>
      <w:strike w:val="0"/>
      <w:sz w:val="64"/>
      <w:szCs w:val="64"/>
      <w:u w:val="none"/>
    </w:rPr>
  </w:style>
  <w:style w:type="character" w:customStyle="1" w:styleId="CharStyle14">
    <w:name w:val="Nadpis #4_"/>
    <w:basedOn w:val="DefaultParagraphFont"/>
    <w:link w:val="Style13"/>
    <w:rPr>
      <w:rFonts w:ascii="Arial" w:eastAsia="Arial" w:hAnsi="Arial" w:cs="Arial"/>
      <w:b/>
      <w:bCs/>
      <w:i w:val="0"/>
      <w:iCs w:val="0"/>
      <w:smallCaps w:val="0"/>
      <w:strike w:val="0"/>
      <w:sz w:val="16"/>
      <w:szCs w:val="16"/>
      <w:u w:val="none"/>
    </w:rPr>
  </w:style>
  <w:style w:type="character" w:customStyle="1" w:styleId="CharStyle17">
    <w:name w:val="Titulek obrázku_"/>
    <w:basedOn w:val="DefaultParagraphFont"/>
    <w:link w:val="Style16"/>
    <w:rPr>
      <w:rFonts w:ascii="Arial" w:eastAsia="Arial" w:hAnsi="Arial" w:cs="Arial"/>
      <w:b w:val="0"/>
      <w:bCs w:val="0"/>
      <w:i w:val="0"/>
      <w:iCs w:val="0"/>
      <w:smallCaps w:val="0"/>
      <w:strike w:val="0"/>
      <w:sz w:val="16"/>
      <w:szCs w:val="16"/>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sz w:val="12"/>
      <w:szCs w:val="12"/>
      <w:u w:val="none"/>
    </w:rPr>
  </w:style>
  <w:style w:type="character" w:customStyle="1" w:styleId="CharStyle23">
    <w:name w:val="Nadpis #2_"/>
    <w:basedOn w:val="DefaultParagraphFont"/>
    <w:link w:val="Style22"/>
    <w:rPr>
      <w:rFonts w:ascii="Arial" w:eastAsia="Arial" w:hAnsi="Arial" w:cs="Arial"/>
      <w:b w:val="0"/>
      <w:bCs w:val="0"/>
      <w:i w:val="0"/>
      <w:iCs w:val="0"/>
      <w:smallCaps w:val="0"/>
      <w:strike w:val="0"/>
      <w:color w:val="56B7E7"/>
      <w:w w:val="80"/>
      <w:sz w:val="22"/>
      <w:szCs w:val="22"/>
      <w:u w:val="none"/>
    </w:rPr>
  </w:style>
  <w:style w:type="character" w:customStyle="1" w:styleId="CharStyle25">
    <w:name w:val="Nadpis #3_"/>
    <w:basedOn w:val="DefaultParagraphFont"/>
    <w:link w:val="Style24"/>
    <w:rPr>
      <w:rFonts w:ascii="Arial" w:eastAsia="Arial" w:hAnsi="Arial" w:cs="Arial"/>
      <w:b w:val="0"/>
      <w:bCs w:val="0"/>
      <w:i w:val="0"/>
      <w:iCs w:val="0"/>
      <w:smallCaps w:val="0"/>
      <w:strike w:val="0"/>
      <w:color w:val="56B7E7"/>
      <w:sz w:val="18"/>
      <w:szCs w:val="18"/>
      <w:u w:val="none"/>
    </w:rPr>
  </w:style>
  <w:style w:type="character" w:customStyle="1" w:styleId="CharStyle27">
    <w:name w:val="Základní text_"/>
    <w:basedOn w:val="DefaultParagraphFont"/>
    <w:link w:val="Style26"/>
    <w:rPr>
      <w:rFonts w:ascii="Arial" w:eastAsia="Arial" w:hAnsi="Arial" w:cs="Arial"/>
      <w:b w:val="0"/>
      <w:bCs w:val="0"/>
      <w:i w:val="0"/>
      <w:iCs w:val="0"/>
      <w:smallCaps w:val="0"/>
      <w:strike w:val="0"/>
      <w:sz w:val="12"/>
      <w:szCs w:val="12"/>
      <w:u w:val="none"/>
    </w:rPr>
  </w:style>
  <w:style w:type="character" w:customStyle="1" w:styleId="CharStyle29">
    <w:name w:val="Nadpis #5_"/>
    <w:basedOn w:val="DefaultParagraphFont"/>
    <w:link w:val="Style28"/>
    <w:rPr>
      <w:rFonts w:ascii="Arial" w:eastAsia="Arial" w:hAnsi="Arial" w:cs="Arial"/>
      <w:b/>
      <w:bCs/>
      <w:i w:val="0"/>
      <w:iCs w:val="0"/>
      <w:smallCaps w:val="0"/>
      <w:strike w:val="0"/>
      <w:sz w:val="12"/>
      <w:szCs w:val="12"/>
      <w:u w:val="none"/>
    </w:rPr>
  </w:style>
  <w:style w:type="paragraph" w:customStyle="1" w:styleId="Style2">
    <w:name w:val="Základní text (2)"/>
    <w:basedOn w:val="Normal"/>
    <w:link w:val="CharStyle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11">
    <w:name w:val="Nadpis #1"/>
    <w:basedOn w:val="Normal"/>
    <w:link w:val="CharStyle12"/>
    <w:pPr>
      <w:widowControl w:val="0"/>
      <w:shd w:val="clear" w:color="auto" w:fill="auto"/>
      <w:jc w:val="right"/>
      <w:outlineLvl w:val="0"/>
    </w:pPr>
    <w:rPr>
      <w:rFonts w:ascii="Arial" w:eastAsia="Arial" w:hAnsi="Arial" w:cs="Arial"/>
      <w:b w:val="0"/>
      <w:bCs w:val="0"/>
      <w:i w:val="0"/>
      <w:iCs w:val="0"/>
      <w:smallCaps w:val="0"/>
      <w:strike w:val="0"/>
      <w:sz w:val="64"/>
      <w:szCs w:val="64"/>
      <w:u w:val="none"/>
    </w:rPr>
  </w:style>
  <w:style w:type="paragraph" w:customStyle="1" w:styleId="Style13">
    <w:name w:val="Nadpis #4"/>
    <w:basedOn w:val="Normal"/>
    <w:link w:val="CharStyle14"/>
    <w:pPr>
      <w:widowControl w:val="0"/>
      <w:shd w:val="clear" w:color="auto" w:fill="auto"/>
      <w:spacing w:after="60" w:line="238" w:lineRule="auto"/>
      <w:outlineLvl w:val="3"/>
    </w:pPr>
    <w:rPr>
      <w:rFonts w:ascii="Arial" w:eastAsia="Arial" w:hAnsi="Arial" w:cs="Arial"/>
      <w:b/>
      <w:bCs/>
      <w:i w:val="0"/>
      <w:iCs w:val="0"/>
      <w:smallCaps w:val="0"/>
      <w:strike w:val="0"/>
      <w:sz w:val="16"/>
      <w:szCs w:val="16"/>
      <w:u w:val="none"/>
    </w:rPr>
  </w:style>
  <w:style w:type="paragraph" w:customStyle="1" w:styleId="Style16">
    <w:name w:val="Titulek obrázku"/>
    <w:basedOn w:val="Normal"/>
    <w:link w:val="CharStyle17"/>
    <w:pPr>
      <w:widowControl w:val="0"/>
      <w:shd w:val="clear" w:color="auto" w:fill="auto"/>
      <w:jc w:val="center"/>
    </w:pPr>
    <w:rPr>
      <w:rFonts w:ascii="Arial" w:eastAsia="Arial" w:hAnsi="Arial" w:cs="Arial"/>
      <w:b w:val="0"/>
      <w:bCs w:val="0"/>
      <w:i w:val="0"/>
      <w:iCs w:val="0"/>
      <w:smallCaps w:val="0"/>
      <w:strike w:val="0"/>
      <w:sz w:val="16"/>
      <w:szCs w:val="16"/>
      <w:u w:val="none"/>
    </w:rPr>
  </w:style>
  <w:style w:type="paragraph" w:customStyle="1" w:styleId="Style18">
    <w:name w:val="Jiné"/>
    <w:basedOn w:val="Normal"/>
    <w:link w:val="CharStyle19"/>
    <w:pPr>
      <w:widowControl w:val="0"/>
      <w:shd w:val="clear" w:color="auto" w:fill="auto"/>
      <w:spacing w:after="60"/>
    </w:pPr>
    <w:rPr>
      <w:rFonts w:ascii="Arial" w:eastAsia="Arial" w:hAnsi="Arial" w:cs="Arial"/>
      <w:b w:val="0"/>
      <w:bCs w:val="0"/>
      <w:i w:val="0"/>
      <w:iCs w:val="0"/>
      <w:smallCaps w:val="0"/>
      <w:strike w:val="0"/>
      <w:sz w:val="12"/>
      <w:szCs w:val="12"/>
      <w:u w:val="none"/>
    </w:rPr>
  </w:style>
  <w:style w:type="paragraph" w:customStyle="1" w:styleId="Style22">
    <w:name w:val="Nadpis #2"/>
    <w:basedOn w:val="Normal"/>
    <w:link w:val="CharStyle23"/>
    <w:pPr>
      <w:widowControl w:val="0"/>
      <w:shd w:val="clear" w:color="auto" w:fill="auto"/>
      <w:spacing w:line="226" w:lineRule="auto"/>
      <w:ind w:left="3480"/>
      <w:outlineLvl w:val="1"/>
    </w:pPr>
    <w:rPr>
      <w:rFonts w:ascii="Arial" w:eastAsia="Arial" w:hAnsi="Arial" w:cs="Arial"/>
      <w:b w:val="0"/>
      <w:bCs w:val="0"/>
      <w:i w:val="0"/>
      <w:iCs w:val="0"/>
      <w:smallCaps w:val="0"/>
      <w:strike w:val="0"/>
      <w:color w:val="56B7E7"/>
      <w:w w:val="80"/>
      <w:sz w:val="22"/>
      <w:szCs w:val="22"/>
      <w:u w:val="none"/>
    </w:rPr>
  </w:style>
  <w:style w:type="paragraph" w:customStyle="1" w:styleId="Style24">
    <w:name w:val="Nadpis #3"/>
    <w:basedOn w:val="Normal"/>
    <w:link w:val="CharStyle25"/>
    <w:pPr>
      <w:widowControl w:val="0"/>
      <w:shd w:val="clear" w:color="auto" w:fill="auto"/>
      <w:spacing w:after="1060" w:line="228" w:lineRule="auto"/>
      <w:ind w:right="90"/>
      <w:outlineLvl w:val="2"/>
    </w:pPr>
    <w:rPr>
      <w:rFonts w:ascii="Arial" w:eastAsia="Arial" w:hAnsi="Arial" w:cs="Arial"/>
      <w:b w:val="0"/>
      <w:bCs w:val="0"/>
      <w:i w:val="0"/>
      <w:iCs w:val="0"/>
      <w:smallCaps w:val="0"/>
      <w:strike w:val="0"/>
      <w:color w:val="56B7E7"/>
      <w:sz w:val="18"/>
      <w:szCs w:val="18"/>
      <w:u w:val="none"/>
    </w:rPr>
  </w:style>
  <w:style w:type="paragraph" w:customStyle="1" w:styleId="Style26">
    <w:name w:val="Základní text"/>
    <w:basedOn w:val="Normal"/>
    <w:link w:val="CharStyle27"/>
    <w:pPr>
      <w:widowControl w:val="0"/>
      <w:shd w:val="clear" w:color="auto" w:fill="auto"/>
      <w:spacing w:after="60"/>
    </w:pPr>
    <w:rPr>
      <w:rFonts w:ascii="Arial" w:eastAsia="Arial" w:hAnsi="Arial" w:cs="Arial"/>
      <w:b w:val="0"/>
      <w:bCs w:val="0"/>
      <w:i w:val="0"/>
      <w:iCs w:val="0"/>
      <w:smallCaps w:val="0"/>
      <w:strike w:val="0"/>
      <w:sz w:val="12"/>
      <w:szCs w:val="12"/>
      <w:u w:val="none"/>
    </w:rPr>
  </w:style>
  <w:style w:type="paragraph" w:customStyle="1" w:styleId="Style28">
    <w:name w:val="Nadpis #5"/>
    <w:basedOn w:val="Normal"/>
    <w:link w:val="CharStyle29"/>
    <w:pPr>
      <w:widowControl w:val="0"/>
      <w:shd w:val="clear" w:color="auto" w:fill="auto"/>
      <w:outlineLvl w:val="4"/>
    </w:pPr>
    <w:rPr>
      <w:rFonts w:ascii="Arial" w:eastAsia="Arial" w:hAnsi="Arial" w:cs="Arial"/>
      <w:b/>
      <w:bCs/>
      <w:i w:val="0"/>
      <w:iCs w:val="0"/>
      <w:smallCaps w:val="0"/>
      <w:strike w:val="0"/>
      <w:sz w:val="12"/>
      <w:szCs w:val="1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s>
</file>