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408524C2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A070C6">
        <w:rPr>
          <w:rFonts w:asciiTheme="minorHAnsi" w:hAnsiTheme="minorHAnsi" w:cstheme="minorHAnsi"/>
          <w:lang w:val="en-GB"/>
        </w:rPr>
        <w:t xml:space="preserve">CENTROPOL ENERGY, </w:t>
      </w:r>
      <w:proofErr w:type="spellStart"/>
      <w:r w:rsidR="00A070C6">
        <w:rPr>
          <w:rFonts w:asciiTheme="minorHAnsi" w:hAnsiTheme="minorHAnsi" w:cstheme="minorHAnsi"/>
          <w:lang w:val="en-GB"/>
        </w:rPr>
        <w:t>a.s</w:t>
      </w:r>
      <w:proofErr w:type="spellEnd"/>
      <w:r w:rsidR="00A070C6">
        <w:rPr>
          <w:rFonts w:asciiTheme="minorHAnsi" w:hAnsiTheme="minorHAnsi" w:cstheme="minorHAnsi"/>
          <w:lang w:val="en-GB"/>
        </w:rPr>
        <w:t>.</w:t>
      </w:r>
    </w:p>
    <w:p w14:paraId="7D41E4BF" w14:textId="437555B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CB14DD">
        <w:rPr>
          <w:rFonts w:asciiTheme="minorHAnsi" w:hAnsiTheme="minorHAnsi" w:cstheme="minorHAnsi"/>
          <w:lang w:val="en-GB"/>
        </w:rPr>
        <w:t>Vaníčkova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1594/1, 400 01 </w:t>
      </w:r>
      <w:proofErr w:type="spellStart"/>
      <w:r w:rsidR="00CB14DD">
        <w:rPr>
          <w:rFonts w:asciiTheme="minorHAnsi" w:hAnsiTheme="minorHAnsi" w:cstheme="minorHAnsi"/>
          <w:lang w:val="en-GB"/>
        </w:rPr>
        <w:t>Ústí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14DD">
        <w:rPr>
          <w:rFonts w:asciiTheme="minorHAnsi" w:hAnsiTheme="minorHAnsi" w:cstheme="minorHAnsi"/>
          <w:lang w:val="en-GB"/>
        </w:rPr>
        <w:t>nad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Labem</w:t>
      </w:r>
    </w:p>
    <w:p w14:paraId="3B174D29" w14:textId="6DF9A900" w:rsidR="008525C3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25458302</w:t>
      </w:r>
    </w:p>
    <w:p w14:paraId="4187729E" w14:textId="6ED10515" w:rsidR="000B17EB" w:rsidRPr="00696B82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</w:t>
      </w:r>
      <w:r w:rsidR="00FE55B3" w:rsidRPr="00696B82">
        <w:rPr>
          <w:rFonts w:asciiTheme="minorHAnsi" w:hAnsiTheme="minorHAnsi" w:cstheme="minorHAnsi"/>
        </w:rPr>
        <w:t>Č: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CZ25458302</w:t>
      </w:r>
    </w:p>
    <w:p w14:paraId="0444FF67" w14:textId="4673769A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 xml:space="preserve">u </w:t>
      </w:r>
      <w:proofErr w:type="spellStart"/>
      <w:r w:rsidR="00CB14DD">
        <w:rPr>
          <w:rFonts w:asciiTheme="minorHAnsi" w:hAnsiTheme="minorHAnsi" w:cstheme="minorHAnsi"/>
          <w:lang w:val="en-GB"/>
        </w:rPr>
        <w:t>Krajského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14DD">
        <w:rPr>
          <w:rFonts w:asciiTheme="minorHAnsi" w:hAnsiTheme="minorHAnsi" w:cstheme="minorHAnsi"/>
          <w:lang w:val="en-GB"/>
        </w:rPr>
        <w:t>soudu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v </w:t>
      </w:r>
      <w:proofErr w:type="spellStart"/>
      <w:r w:rsidR="00CB14DD">
        <w:rPr>
          <w:rFonts w:asciiTheme="minorHAnsi" w:hAnsiTheme="minorHAnsi" w:cstheme="minorHAnsi"/>
          <w:lang w:val="en-GB"/>
        </w:rPr>
        <w:t>Ústí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B14DD">
        <w:rPr>
          <w:rFonts w:asciiTheme="minorHAnsi" w:hAnsiTheme="minorHAnsi" w:cstheme="minorHAnsi"/>
          <w:lang w:val="en-GB"/>
        </w:rPr>
        <w:t>nad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 Labem </w:t>
      </w:r>
      <w:proofErr w:type="spellStart"/>
      <w:r w:rsidR="00CB14DD">
        <w:rPr>
          <w:rFonts w:asciiTheme="minorHAnsi" w:hAnsiTheme="minorHAnsi" w:cstheme="minorHAnsi"/>
          <w:lang w:val="en-GB"/>
        </w:rPr>
        <w:t>spis</w:t>
      </w:r>
      <w:proofErr w:type="spellEnd"/>
      <w:r w:rsidR="00CB14DD">
        <w:rPr>
          <w:rFonts w:asciiTheme="minorHAnsi" w:hAnsiTheme="minorHAnsi" w:cstheme="minorHAnsi"/>
          <w:lang w:val="en-GB"/>
        </w:rPr>
        <w:t xml:space="preserve">. </w:t>
      </w:r>
      <w:proofErr w:type="spellStart"/>
      <w:proofErr w:type="gramStart"/>
      <w:r w:rsidR="00CB14DD">
        <w:rPr>
          <w:rFonts w:asciiTheme="minorHAnsi" w:hAnsiTheme="minorHAnsi" w:cstheme="minorHAnsi"/>
          <w:lang w:val="en-GB"/>
        </w:rPr>
        <w:t>zn</w:t>
      </w:r>
      <w:proofErr w:type="spellEnd"/>
      <w:r w:rsidR="00CB14DD">
        <w:rPr>
          <w:rFonts w:asciiTheme="minorHAnsi" w:hAnsiTheme="minorHAnsi" w:cstheme="minorHAnsi"/>
          <w:lang w:val="en-GB"/>
        </w:rPr>
        <w:t>.</w:t>
      </w:r>
      <w:proofErr w:type="gramEnd"/>
      <w:r w:rsidR="00CB14DD">
        <w:rPr>
          <w:rFonts w:asciiTheme="minorHAnsi" w:hAnsiTheme="minorHAnsi" w:cstheme="minorHAnsi"/>
          <w:lang w:val="en-GB"/>
        </w:rPr>
        <w:t xml:space="preserve"> B 1457</w:t>
      </w:r>
    </w:p>
    <w:p w14:paraId="23AF7BEA" w14:textId="5AFA4BC9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140805731</w:t>
      </w:r>
    </w:p>
    <w:p w14:paraId="2D8F2C1B" w14:textId="3B694A70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CB14DD">
        <w:rPr>
          <w:rFonts w:asciiTheme="minorHAnsi" w:hAnsiTheme="minorHAnsi" w:cstheme="minorHAnsi"/>
          <w:lang w:val="en-GB"/>
        </w:rPr>
        <w:t>283</w:t>
      </w:r>
    </w:p>
    <w:p w14:paraId="689BD01D" w14:textId="640F3633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</w:p>
    <w:p w14:paraId="3C8BCD3D" w14:textId="369F1F70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</w:p>
    <w:p w14:paraId="04E67074" w14:textId="75671CC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3B3851">
        <w:rPr>
          <w:rFonts w:asciiTheme="minorHAnsi" w:hAnsiTheme="minorHAnsi" w:cstheme="minorHAnsi"/>
          <w:lang w:val="en-GB"/>
        </w:rPr>
        <w:t xml:space="preserve">                          </w:t>
      </w:r>
      <w:r w:rsidR="00CB14DD">
        <w:rPr>
          <w:rFonts w:asciiTheme="minorHAnsi" w:hAnsiTheme="minorHAnsi" w:cstheme="minorHAnsi"/>
          <w:lang w:val="en-GB"/>
        </w:rPr>
        <w:t>ij8dda</w:t>
      </w:r>
    </w:p>
    <w:p w14:paraId="5A4D7BCB" w14:textId="1185EE85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4C73BBCB" w14:textId="0E811FC5" w:rsidR="00A06BDD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proofErr w:type="spellStart"/>
      <w:r w:rsidR="00656F64" w:rsidRPr="00656F64">
        <w:rPr>
          <w:rFonts w:asciiTheme="minorHAnsi" w:hAnsiTheme="minorHAnsi" w:cstheme="minorHAnsi"/>
          <w:lang w:val="en-GB"/>
        </w:rPr>
        <w:t>Mateřská</w:t>
      </w:r>
      <w:proofErr w:type="spellEnd"/>
      <w:r w:rsidR="00656F64" w:rsidRPr="00656F6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656F64" w:rsidRPr="00656F64">
        <w:rPr>
          <w:rFonts w:asciiTheme="minorHAnsi" w:hAnsiTheme="minorHAnsi" w:cstheme="minorHAnsi"/>
          <w:lang w:val="en-GB"/>
        </w:rPr>
        <w:t>škola</w:t>
      </w:r>
      <w:proofErr w:type="spellEnd"/>
      <w:r w:rsidR="00656F64" w:rsidRPr="00656F64">
        <w:rPr>
          <w:rFonts w:asciiTheme="minorHAnsi" w:hAnsiTheme="minorHAnsi" w:cstheme="minorHAnsi"/>
          <w:lang w:val="en-GB"/>
        </w:rPr>
        <w:t xml:space="preserve"> Ostrava-</w:t>
      </w:r>
      <w:proofErr w:type="spellStart"/>
      <w:r w:rsidR="00656F64" w:rsidRPr="00656F64">
        <w:rPr>
          <w:rFonts w:asciiTheme="minorHAnsi" w:hAnsiTheme="minorHAnsi" w:cstheme="minorHAnsi"/>
          <w:lang w:val="en-GB"/>
        </w:rPr>
        <w:t>Vítkovice</w:t>
      </w:r>
      <w:proofErr w:type="spellEnd"/>
      <w:r w:rsidR="00656F64" w:rsidRPr="00656F64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656F64" w:rsidRPr="00656F64">
        <w:rPr>
          <w:rFonts w:asciiTheme="minorHAnsi" w:hAnsiTheme="minorHAnsi" w:cstheme="minorHAnsi"/>
          <w:lang w:val="en-GB"/>
        </w:rPr>
        <w:t>Prokopa</w:t>
      </w:r>
      <w:proofErr w:type="spellEnd"/>
      <w:r w:rsidR="00656F64" w:rsidRPr="00656F6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656F64" w:rsidRPr="00656F64">
        <w:rPr>
          <w:rFonts w:asciiTheme="minorHAnsi" w:hAnsiTheme="minorHAnsi" w:cstheme="minorHAnsi"/>
          <w:lang w:val="en-GB"/>
        </w:rPr>
        <w:t>Velikého</w:t>
      </w:r>
      <w:proofErr w:type="spellEnd"/>
      <w:r w:rsidR="00656F64" w:rsidRPr="00656F64">
        <w:rPr>
          <w:rFonts w:asciiTheme="minorHAnsi" w:hAnsiTheme="minorHAnsi" w:cstheme="minorHAnsi"/>
          <w:lang w:val="en-GB"/>
        </w:rPr>
        <w:t xml:space="preserve"> 37, </w:t>
      </w:r>
    </w:p>
    <w:p w14:paraId="0AAC8A0F" w14:textId="6F7C2B65" w:rsidR="00656F64" w:rsidRDefault="00656F64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                                                                 </w:t>
      </w:r>
      <w:proofErr w:type="spellStart"/>
      <w:proofErr w:type="gramStart"/>
      <w:r w:rsidRPr="00656F64">
        <w:rPr>
          <w:rFonts w:asciiTheme="minorHAnsi" w:hAnsiTheme="minorHAnsi" w:cstheme="minorHAnsi"/>
          <w:lang w:val="en-GB"/>
        </w:rPr>
        <w:t>příspěvková</w:t>
      </w:r>
      <w:proofErr w:type="spellEnd"/>
      <w:proofErr w:type="gramEnd"/>
      <w:r w:rsidRPr="00656F6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656F64">
        <w:rPr>
          <w:rFonts w:asciiTheme="minorHAnsi" w:hAnsiTheme="minorHAnsi" w:cstheme="minorHAnsi"/>
          <w:lang w:val="en-GB"/>
        </w:rPr>
        <w:t>organizace</w:t>
      </w:r>
      <w:proofErr w:type="spellEnd"/>
    </w:p>
    <w:p w14:paraId="64B6F19C" w14:textId="33A370D8" w:rsidR="00A06BDD" w:rsidRPr="000F6671" w:rsidRDefault="00E26C9F" w:rsidP="000F6671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56F64" w:rsidRPr="00656F64">
        <w:rPr>
          <w:rFonts w:asciiTheme="minorHAnsi" w:hAnsiTheme="minorHAnsi" w:cstheme="minorHAnsi"/>
        </w:rPr>
        <w:t>Prokopa Velikého 425/37, 703 00  Ostrava - Vítkovice</w:t>
      </w:r>
    </w:p>
    <w:p w14:paraId="16D8A7B6" w14:textId="117482F4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lČO</w:t>
      </w:r>
      <w:proofErr w:type="spellEnd"/>
      <w:r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56F64" w:rsidRPr="00656F64">
        <w:rPr>
          <w:rFonts w:asciiTheme="minorHAnsi" w:hAnsiTheme="minorHAnsi" w:cstheme="minorHAnsi"/>
        </w:rPr>
        <w:t>75027402</w:t>
      </w:r>
    </w:p>
    <w:p w14:paraId="10A6A0B3" w14:textId="05C2F732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14:paraId="636FB39D" w14:textId="0B011A7D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proofErr w:type="spellStart"/>
      <w:r w:rsidR="004608B9">
        <w:rPr>
          <w:rFonts w:asciiTheme="minorHAnsi" w:hAnsiTheme="minorHAnsi" w:cstheme="minorHAnsi"/>
        </w:rPr>
        <w:t>Pr</w:t>
      </w:r>
      <w:proofErr w:type="spellEnd"/>
      <w:r w:rsidR="004608B9">
        <w:rPr>
          <w:rFonts w:asciiTheme="minorHAnsi" w:hAnsiTheme="minorHAnsi" w:cstheme="minorHAnsi"/>
        </w:rPr>
        <w:t xml:space="preserve"> 274 zapsána u Krajského soudu v Ostravě</w:t>
      </w:r>
    </w:p>
    <w:p w14:paraId="4F4A7DE7" w14:textId="5A1C2E32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7CCE806" w14:textId="062511C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190C1FA" w14:textId="54DC786D" w:rsidR="00E26C9F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08B9">
        <w:rPr>
          <w:rFonts w:asciiTheme="minorHAnsi" w:hAnsiTheme="minorHAnsi" w:cstheme="minorHAnsi"/>
          <w:lang w:val="en-GB"/>
        </w:rPr>
        <w:t>n52kwc3</w:t>
      </w:r>
      <w:r>
        <w:rPr>
          <w:rFonts w:asciiTheme="minorHAnsi" w:hAnsiTheme="minorHAnsi" w:cstheme="minorHAnsi"/>
          <w:color w:val="FF0000"/>
          <w:lang w:val="en-GB"/>
        </w:rPr>
        <w:t xml:space="preserve">          </w:t>
      </w:r>
    </w:p>
    <w:p w14:paraId="0AEE179B" w14:textId="5726C791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2492BCAE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smlouvě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44F3DE81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</w:p>
    <w:p w14:paraId="36725B20" w14:textId="11814BDE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prostřednictvím Obchodníka</w:t>
      </w:r>
      <w:r w:rsidRPr="00696B82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proofErr w:type="gramStart"/>
      <w:r w:rsidR="002D7137" w:rsidRPr="00696B82">
        <w:rPr>
          <w:rFonts w:asciiTheme="minorHAnsi" w:eastAsia="Arial Unicode MS" w:hAnsiTheme="minorHAnsi" w:cstheme="minorHAnsi"/>
        </w:rPr>
        <w:t>této</w:t>
      </w:r>
      <w:proofErr w:type="gramEnd"/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</w:t>
      </w:r>
      <w:proofErr w:type="gramStart"/>
      <w:r w:rsidRPr="00696B82">
        <w:rPr>
          <w:rFonts w:asciiTheme="minorHAnsi" w:eastAsia="Arial Unicode MS" w:hAnsiTheme="minorHAnsi" w:cstheme="minorHAnsi"/>
        </w:rPr>
        <w:t>této</w:t>
      </w:r>
      <w:proofErr w:type="gramEnd"/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</w:t>
      </w:r>
      <w:proofErr w:type="gramStart"/>
      <w:r w:rsidRPr="00696B82">
        <w:rPr>
          <w:rFonts w:asciiTheme="minorHAnsi" w:eastAsia="Arial Unicode MS" w:hAnsiTheme="minorHAnsi" w:cstheme="minorHAnsi"/>
        </w:rPr>
        <w:t>této</w:t>
      </w:r>
      <w:proofErr w:type="gramEnd"/>
      <w:r w:rsidRPr="00696B82">
        <w:rPr>
          <w:rFonts w:asciiTheme="minorHAnsi" w:eastAsia="Arial Unicode MS" w:hAnsiTheme="minorHAnsi" w:cstheme="minorHAnsi"/>
        </w:rPr>
        <w:t xml:space="preserve">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35EF960C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2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3D8CF0BD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3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4CA498A9" w:rsidR="00A77EA0" w:rsidRPr="00BC57C7" w:rsidRDefault="009131B6" w:rsidP="00BC57C7">
      <w:pPr>
        <w:jc w:val="both"/>
        <w:rPr>
          <w:rFonts w:ascii="Calibri" w:eastAsia="Times New Roman" w:hAnsi="Calibri" w:cs="Calibri"/>
          <w:sz w:val="16"/>
          <w:szCs w:val="16"/>
          <w:lang w:eastAsia="cs-CZ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</w:t>
      </w:r>
      <w:proofErr w:type="gramStart"/>
      <w:r w:rsidR="00A77EA0" w:rsidRPr="00696B82">
        <w:rPr>
          <w:rFonts w:asciiTheme="minorHAnsi" w:eastAsia="Arial Unicode MS" w:hAnsiTheme="minorHAnsi" w:cstheme="minorHAnsi"/>
        </w:rPr>
        <w:t xml:space="preserve">výši </w:t>
      </w:r>
      <w:r w:rsidR="004A203F">
        <w:rPr>
          <w:rFonts w:asciiTheme="minorHAnsi" w:eastAsia="Arial Unicode MS" w:hAnsiTheme="minorHAnsi" w:cstheme="minorHAnsi"/>
        </w:rPr>
        <w:t xml:space="preserve">                     </w:t>
      </w:r>
      <w:r w:rsidR="00656F64">
        <w:rPr>
          <w:rFonts w:asciiTheme="minorHAnsi" w:eastAsia="Arial Unicode MS" w:hAnsiTheme="minorHAnsi" w:cstheme="minorHAnsi"/>
        </w:rPr>
        <w:t>13,815</w:t>
      </w:r>
      <w:proofErr w:type="gramEnd"/>
      <w:r w:rsidR="00133D67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175351" w:rsidRPr="00696B82">
        <w:rPr>
          <w:rFonts w:asciiTheme="minorHAnsi" w:eastAsia="Arial Unicode MS" w:hAnsiTheme="minorHAnsi" w:cstheme="minorHAnsi"/>
          <w:b/>
        </w:rPr>
        <w:t>M</w:t>
      </w:r>
      <w:r w:rsidR="00A77EA0" w:rsidRPr="00696B82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7E2832A8" w14:textId="54744727" w:rsidR="007A57BC" w:rsidRPr="00696B82" w:rsidRDefault="007A57BC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696B82">
        <w:rPr>
          <w:rFonts w:asciiTheme="minorHAnsi" w:eastAsia="Arial Unicode MS" w:hAnsiTheme="minorHAnsi" w:cstheme="minorHAnsi"/>
        </w:rPr>
        <w:t xml:space="preserve">plánovaného </w:t>
      </w:r>
      <w:r w:rsidRPr="00696B82">
        <w:rPr>
          <w:rFonts w:asciiTheme="minorHAnsi" w:eastAsia="Arial Unicode MS" w:hAnsiTheme="minorHAnsi" w:cstheme="minorHAnsi"/>
        </w:rPr>
        <w:t xml:space="preserve">ročního odběru elektřiny v jednotlivých odběrných místech uvedených v </w:t>
      </w:r>
      <w:r w:rsidR="00175351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</w:t>
      </w:r>
      <w:proofErr w:type="gramStart"/>
      <w:r w:rsidR="002D7137" w:rsidRPr="00696B82">
        <w:rPr>
          <w:rFonts w:asciiTheme="minorHAnsi" w:eastAsia="Arial Unicode MS" w:hAnsiTheme="minorHAnsi" w:cstheme="minorHAnsi"/>
        </w:rPr>
        <w:t>této</w:t>
      </w:r>
      <w:proofErr w:type="gramEnd"/>
      <w:r w:rsidR="002D7137"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</w:t>
      </w:r>
      <w:r w:rsidR="00FE55B3" w:rsidRPr="00696B82">
        <w:rPr>
          <w:rFonts w:asciiTheme="minorHAnsi" w:eastAsia="Arial Unicode MS" w:hAnsiTheme="minorHAnsi" w:cstheme="minorHAnsi"/>
        </w:rPr>
        <w:t>éhat žádným cenovým přirážkám</w:t>
      </w:r>
      <w:r w:rsidR="009542AB">
        <w:rPr>
          <w:rFonts w:asciiTheme="minorHAnsi" w:eastAsia="Arial Unicode MS" w:hAnsiTheme="minorHAnsi" w:cstheme="minorHAnsi"/>
        </w:rPr>
        <w:t xml:space="preserve"> či jiným sankcím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Příloze </w:t>
      </w:r>
      <w:proofErr w:type="gramStart"/>
      <w:r w:rsidRPr="00696B82">
        <w:rPr>
          <w:rFonts w:asciiTheme="minorHAnsi" w:hAnsiTheme="minorHAnsi" w:cstheme="minorHAnsi"/>
          <w:b/>
          <w:color w:val="auto"/>
          <w:sz w:val="20"/>
        </w:rPr>
        <w:t>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</w:t>
      </w:r>
      <w:proofErr w:type="gramEnd"/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39E5D9AB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distribuci elektřiny a systémové služby </w:t>
      </w:r>
      <w:r w:rsidR="00454FFB" w:rsidRPr="00696B82">
        <w:rPr>
          <w:rFonts w:asciiTheme="minorHAnsi" w:hAnsiTheme="minorHAnsi" w:cstheme="minorHAnsi"/>
          <w:color w:val="auto"/>
          <w:sz w:val="20"/>
        </w:rPr>
        <w:t>bude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4C1F9016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2D7137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14:paraId="4C0BCE5E" w14:textId="48EF44DE" w:rsidR="00126309" w:rsidRPr="00116E6D" w:rsidRDefault="004F3151" w:rsidP="00743662">
      <w:pPr>
        <w:pStyle w:val="ListParagraph2"/>
        <w:numPr>
          <w:ilvl w:val="0"/>
          <w:numId w:val="11"/>
        </w:numPr>
        <w:tabs>
          <w:tab w:val="clear" w:pos="-21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7730F">
        <w:rPr>
          <w:rFonts w:asciiTheme="minorHAnsi" w:hAnsiTheme="minorHAnsi" w:cstheme="minorHAnsi"/>
          <w:color w:val="auto"/>
          <w:sz w:val="20"/>
        </w:rPr>
        <w:t xml:space="preserve">Obchodník bude poskytovat </w:t>
      </w:r>
      <w:r w:rsidR="00AA0796" w:rsidRPr="00803F0F">
        <w:rPr>
          <w:rFonts w:asciiTheme="minorHAnsi" w:hAnsiTheme="minorHAnsi" w:cstheme="minorHAnsi"/>
          <w:color w:val="auto"/>
          <w:sz w:val="20"/>
        </w:rPr>
        <w:t>Magistrátu města Ostravy</w:t>
      </w:r>
      <w:r w:rsidR="001D194F">
        <w:rPr>
          <w:rFonts w:asciiTheme="minorHAnsi" w:hAnsiTheme="minorHAnsi" w:cstheme="minorHAnsi"/>
          <w:color w:val="auto"/>
          <w:sz w:val="20"/>
        </w:rPr>
        <w:t xml:space="preserve"> na e-mail: </w:t>
      </w:r>
      <w:hyperlink r:id="rId9" w:history="1">
        <w:r w:rsidR="002F1948" w:rsidRPr="00934CA4">
          <w:rPr>
            <w:rStyle w:val="Hypertextovodkaz"/>
            <w:rFonts w:asciiTheme="minorHAnsi" w:hAnsiTheme="minorHAnsi" w:cstheme="minorHAnsi"/>
            <w:sz w:val="20"/>
          </w:rPr>
          <w:t>ssn@tendersystems.cz</w:t>
        </w:r>
      </w:hyperlink>
      <w:r w:rsidR="00AA0796" w:rsidRPr="004F26BE">
        <w:rPr>
          <w:rFonts w:asciiTheme="minorHAnsi" w:hAnsiTheme="minorHAnsi" w:cstheme="minorHAnsi"/>
          <w:color w:val="auto"/>
          <w:sz w:val="20"/>
        </w:rPr>
        <w:t>,</w:t>
      </w:r>
      <w:r w:rsidR="00AA0796" w:rsidRPr="0057730F">
        <w:rPr>
          <w:rFonts w:asciiTheme="minorHAnsi" w:hAnsiTheme="minorHAnsi" w:cstheme="minorHAnsi"/>
          <w:color w:val="auto"/>
          <w:sz w:val="20"/>
        </w:rPr>
        <w:t xml:space="preserve"> </w:t>
      </w:r>
      <w:r w:rsidR="00AA0796">
        <w:rPr>
          <w:rFonts w:asciiTheme="minorHAnsi" w:hAnsiTheme="minorHAnsi" w:cstheme="minorHAnsi"/>
          <w:color w:val="auto"/>
          <w:sz w:val="20"/>
        </w:rPr>
        <w:t xml:space="preserve">popřípadě </w:t>
      </w:r>
      <w:r w:rsidRPr="0057730F">
        <w:rPr>
          <w:rFonts w:asciiTheme="minorHAnsi" w:hAnsiTheme="minorHAnsi" w:cstheme="minorHAnsi"/>
          <w:color w:val="auto"/>
          <w:sz w:val="20"/>
        </w:rPr>
        <w:t>Zákazníkovi na základě jeho písemného požadavku, soubor dat v elektronické podobě</w:t>
      </w:r>
      <w:r w:rsidR="00B0121A">
        <w:rPr>
          <w:rFonts w:asciiTheme="minorHAnsi" w:hAnsiTheme="minorHAnsi" w:cstheme="minorHAnsi"/>
          <w:color w:val="auto"/>
          <w:sz w:val="20"/>
        </w:rPr>
        <w:t xml:space="preserve"> ve strojově čitelném formátu</w:t>
      </w:r>
      <w:r w:rsidRPr="0057730F">
        <w:rPr>
          <w:rFonts w:asciiTheme="minorHAnsi" w:hAnsiTheme="minorHAnsi" w:cstheme="minorHAnsi"/>
          <w:color w:val="auto"/>
          <w:sz w:val="20"/>
        </w:rPr>
        <w:t xml:space="preserve">, obsahující kompletní údaje o realizované dodávce elektřiny 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 w:rsidR="00BF18D4">
        <w:rPr>
          <w:rFonts w:asciiTheme="minorHAnsi" w:hAnsiTheme="minorHAnsi" w:cstheme="minorHAnsi"/>
          <w:color w:val="auto"/>
          <w:sz w:val="20"/>
        </w:rPr>
        <w:t>9</w:t>
      </w:r>
      <w:r w:rsidRPr="0057730F">
        <w:rPr>
          <w:rFonts w:asciiTheme="minorHAnsi" w:hAnsiTheme="minorHAnsi" w:cstheme="minorHAnsi"/>
          <w:color w:val="auto"/>
          <w:sz w:val="20"/>
        </w:rPr>
        <w:t>. Obchodních podmínek dodávky.</w:t>
      </w:r>
      <w:r w:rsidR="00E101EA">
        <w:rPr>
          <w:rFonts w:asciiTheme="minorHAnsi" w:hAnsiTheme="minorHAnsi" w:cstheme="minorHAnsi"/>
          <w:color w:val="auto"/>
          <w:sz w:val="20"/>
        </w:rPr>
        <w:t xml:space="preserve"> </w:t>
      </w:r>
      <w:r w:rsidR="00E101EA" w:rsidRPr="00022C46">
        <w:rPr>
          <w:rFonts w:asciiTheme="minorHAnsi" w:hAnsiTheme="minorHAnsi" w:cstheme="minorHAnsi"/>
          <w:color w:val="auto"/>
          <w:sz w:val="20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520B8A15" w14:textId="7D0FF5FD" w:rsidR="00746A3C" w:rsidRPr="003B3851" w:rsidRDefault="00746A3C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lastRenderedPageBreak/>
        <w:t xml:space="preserve">Z důvodu provozních potřeb může být v průběhu trvání </w:t>
      </w:r>
      <w:r w:rsidR="000A3C75" w:rsidRPr="003B3851">
        <w:rPr>
          <w:rFonts w:asciiTheme="minorHAnsi" w:hAnsiTheme="minorHAnsi" w:cstheme="minorHAnsi"/>
          <w:b/>
          <w:color w:val="auto"/>
          <w:sz w:val="20"/>
        </w:rPr>
        <w:t>S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, a to jak zrušením OM uvedených v této smlouvě, tak zřízením nových OM, v této smlouvě neuvedených</w:t>
      </w:r>
      <w:bookmarkStart w:id="0" w:name="_Hlk481084815"/>
      <w:r w:rsidRPr="003B3851">
        <w:rPr>
          <w:rFonts w:asciiTheme="minorHAnsi" w:hAnsiTheme="minorHAnsi" w:cstheme="minorHAnsi"/>
          <w:color w:val="auto"/>
          <w:sz w:val="20"/>
        </w:rPr>
        <w:t xml:space="preserve">. </w:t>
      </w:r>
      <w:bookmarkEnd w:id="0"/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14:paraId="71E786B0" w14:textId="72CA4C00" w:rsidR="00F31183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14:paraId="7BF8C90E" w14:textId="77777777" w:rsidR="00126309" w:rsidRPr="003B3851" w:rsidRDefault="00126309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43B4534A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2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F74A9A">
        <w:rPr>
          <w:rFonts w:asciiTheme="minorHAnsi" w:hAnsiTheme="minorHAnsi" w:cstheme="minorHAnsi"/>
          <w:b/>
        </w:rPr>
        <w:t>3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62651A8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proofErr w:type="gramStart"/>
      <w:r w:rsidR="002D7137" w:rsidRPr="00696B82">
        <w:rPr>
          <w:rFonts w:asciiTheme="minorHAnsi" w:hAnsiTheme="minorHAnsi" w:cstheme="minorHAnsi"/>
          <w:b/>
        </w:rPr>
        <w:t>této</w:t>
      </w:r>
      <w:proofErr w:type="gramEnd"/>
      <w:r w:rsidR="002D7137" w:rsidRPr="00696B82">
        <w:rPr>
          <w:rFonts w:asciiTheme="minorHAnsi" w:hAnsiTheme="minorHAnsi" w:cstheme="minorHAnsi"/>
          <w:b/>
        </w:rPr>
        <w:t xml:space="preserve"> Smlouvy</w:t>
      </w:r>
      <w:r w:rsidRPr="00696B82">
        <w:rPr>
          <w:rFonts w:asciiTheme="minorHAnsi" w:hAnsiTheme="minorHAnsi" w:cstheme="minorHAnsi"/>
        </w:rPr>
        <w:t>.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966D547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3B3716F0" w:rsidR="00C74671" w:rsidRDefault="00C74671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adresu </w:t>
      </w:r>
      <w:hyperlink r:id="rId10" w:history="1">
        <w:r w:rsidR="00EA2398" w:rsidRPr="00EA2398">
          <w:rPr>
            <w:rStyle w:val="Hypertextovodkaz"/>
            <w:rFonts w:asciiTheme="minorHAnsi" w:hAnsiTheme="minorHAnsi" w:cstheme="minorHAnsi"/>
            <w:highlight w:val="yellow"/>
            <w:lang w:val="en-GB"/>
          </w:rPr>
          <w:t>zakazky@centropol.cz</w:t>
        </w:r>
      </w:hyperlink>
      <w:r w:rsidR="00EA2398"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27B9297C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 ____/</w:t>
      </w:r>
      <w:r w:rsidR="0011529A" w:rsidRPr="003D3E32">
        <w:rPr>
          <w:rFonts w:asciiTheme="minorHAnsi" w:hAnsiTheme="minorHAnsi" w:cstheme="minorHAnsi"/>
        </w:rPr>
        <w:t>RM</w:t>
      </w:r>
      <w:r w:rsidR="003D3E32">
        <w:rPr>
          <w:rFonts w:asciiTheme="minorHAnsi" w:hAnsiTheme="minorHAnsi" w:cstheme="minorHAnsi"/>
        </w:rPr>
        <w:t>____</w:t>
      </w:r>
      <w:r w:rsidR="003D3E32" w:rsidRPr="003D3E32" w:rsidDel="003D3E32">
        <w:rPr>
          <w:rFonts w:asciiTheme="minorHAnsi" w:hAnsiTheme="minorHAnsi" w:cstheme="minorHAnsi"/>
        </w:rPr>
        <w:t xml:space="preserve"> </w:t>
      </w:r>
      <w:r w:rsidRPr="00C94469">
        <w:rPr>
          <w:rFonts w:asciiTheme="minorHAnsi" w:hAnsiTheme="minorHAnsi" w:cstheme="minorHAnsi"/>
        </w:rPr>
        <w:t>/___ ze dne __. __. 20</w:t>
      </w:r>
      <w:r w:rsidR="00F74A9A">
        <w:rPr>
          <w:rFonts w:asciiTheme="minorHAnsi" w:hAnsiTheme="minorHAnsi" w:cstheme="minorHAnsi"/>
        </w:rPr>
        <w:t>21</w:t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F74A9A" w:rsidRPr="00F74A9A">
        <w:rPr>
          <w:rFonts w:asciiTheme="minorHAnsi" w:hAnsiTheme="minorHAnsi" w:cstheme="minorHAnsi"/>
          <w:i/>
        </w:rPr>
        <w:t>Dodávky elektrické energie pro statutární město Ostrava a městské organizace na roky 2022 - 2023</w:t>
      </w:r>
      <w:r w:rsidR="00A30099">
        <w:rPr>
          <w:rFonts w:asciiTheme="minorHAnsi" w:hAnsiTheme="minorHAnsi" w:cstheme="minorHAnsi"/>
          <w:i/>
        </w:rPr>
        <w:t>“</w:t>
      </w: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7D169270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  <w:r w:rsidR="00706287">
        <w:rPr>
          <w:rFonts w:asciiTheme="minorHAnsi" w:hAnsiTheme="minorHAnsi" w:cstheme="minorHAnsi"/>
        </w:rPr>
        <w:t xml:space="preserve"> 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011B21C0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EA2398">
        <w:rPr>
          <w:rFonts w:asciiTheme="minorHAnsi" w:hAnsiTheme="minorHAnsi" w:cstheme="minorHAnsi"/>
        </w:rPr>
        <w:t> Ústí nad Labem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</w:t>
      </w:r>
      <w:proofErr w:type="gramStart"/>
      <w:r w:rsidR="00EA2398">
        <w:rPr>
          <w:rFonts w:asciiTheme="minorHAnsi" w:hAnsiTheme="minorHAnsi" w:cstheme="minorHAnsi"/>
        </w:rPr>
        <w:t>09.04.2021</w:t>
      </w:r>
      <w:proofErr w:type="gramEnd"/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</w:t>
      </w:r>
      <w:proofErr w:type="gramStart"/>
      <w:r w:rsidR="004608B9">
        <w:rPr>
          <w:rFonts w:asciiTheme="minorHAnsi" w:hAnsiTheme="minorHAnsi" w:cstheme="minorHAnsi"/>
        </w:rPr>
        <w:t>29.6.2021</w:t>
      </w:r>
      <w:proofErr w:type="gramEnd"/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29A681E6" w14:textId="77777777" w:rsidR="004608B9" w:rsidRDefault="002D7137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F95AE57" w14:textId="73D21883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6B071B47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 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91"/>
        <w:gridCol w:w="2381"/>
        <w:gridCol w:w="2357"/>
        <w:gridCol w:w="2357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C74671" w:rsidRPr="00696B82" w14:paraId="6F642791" w14:textId="77777777" w:rsidTr="00A6360D">
        <w:tc>
          <w:tcPr>
            <w:tcW w:w="1180" w:type="pct"/>
            <w:vAlign w:val="center"/>
          </w:tcPr>
          <w:p w14:paraId="279D3598" w14:textId="2C5CE5A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14:paraId="551DD3E5" w14:textId="382A46AB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456E390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14:paraId="4464F051" w14:textId="0B78AAFB" w:rsidR="00C74671" w:rsidRPr="00696B82" w:rsidRDefault="00EA2398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0,-</w:t>
            </w:r>
          </w:p>
        </w:tc>
      </w:tr>
      <w:tr w:rsidR="00C74671" w:rsidRPr="00696B82" w14:paraId="0D12FA5E" w14:textId="77777777" w:rsidTr="00A6360D">
        <w:tc>
          <w:tcPr>
            <w:tcW w:w="1180" w:type="pct"/>
            <w:vAlign w:val="center"/>
          </w:tcPr>
          <w:p w14:paraId="704EE533" w14:textId="68580D5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14:paraId="1DBBDBBA" w14:textId="7FDB6959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Align w:val="center"/>
          </w:tcPr>
          <w:p w14:paraId="4AE92E55" w14:textId="39483ADE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Merge/>
            <w:vAlign w:val="center"/>
          </w:tcPr>
          <w:p w14:paraId="6EA362D2" w14:textId="1EB24D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C1878E5" w14:textId="77777777" w:rsidTr="00A6360D">
        <w:tc>
          <w:tcPr>
            <w:tcW w:w="1180" w:type="pct"/>
            <w:vAlign w:val="center"/>
          </w:tcPr>
          <w:p w14:paraId="625B7B6B" w14:textId="41E2B073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116E6D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14:paraId="6A9AAB1C" w14:textId="1204D6BF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Align w:val="center"/>
          </w:tcPr>
          <w:p w14:paraId="4AA338F2" w14:textId="6230075F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Merge/>
            <w:vAlign w:val="center"/>
          </w:tcPr>
          <w:p w14:paraId="72CC8BB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7F3D4B4B" w14:textId="77777777" w:rsidTr="00A6360D">
        <w:tc>
          <w:tcPr>
            <w:tcW w:w="1180" w:type="pct"/>
            <w:vAlign w:val="center"/>
          </w:tcPr>
          <w:p w14:paraId="2C1BA72A" w14:textId="5178C68C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14:paraId="3BE8C6E2" w14:textId="7D12A0DC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Align w:val="center"/>
          </w:tcPr>
          <w:p w14:paraId="6C2290A9" w14:textId="3FBF63BD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Merge/>
            <w:vAlign w:val="center"/>
          </w:tcPr>
          <w:p w14:paraId="051484F5" w14:textId="3961342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3BC4E320" w14:textId="77777777" w:rsidTr="00A6360D">
        <w:tc>
          <w:tcPr>
            <w:tcW w:w="1180" w:type="pct"/>
            <w:vAlign w:val="center"/>
          </w:tcPr>
          <w:p w14:paraId="6D7E8776" w14:textId="6C212E9E" w:rsidR="00C74671" w:rsidRPr="00116E6D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116E6D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14:paraId="2A1FA697" w14:textId="1FD606A6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Align w:val="center"/>
          </w:tcPr>
          <w:p w14:paraId="1B46B7EA" w14:textId="49F62E52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Merge/>
            <w:vAlign w:val="center"/>
          </w:tcPr>
          <w:p w14:paraId="030A434F" w14:textId="611AB074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107A717C" w14:textId="77777777" w:rsidTr="00A6360D">
        <w:tc>
          <w:tcPr>
            <w:tcW w:w="1180" w:type="pct"/>
            <w:vAlign w:val="center"/>
          </w:tcPr>
          <w:p w14:paraId="0B4A09AA" w14:textId="2C96D4AF" w:rsidR="00C74671" w:rsidRPr="00696B82" w:rsidRDefault="00C74671" w:rsidP="00E95DF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55d, C 56d</w:t>
            </w:r>
          </w:p>
        </w:tc>
        <w:tc>
          <w:tcPr>
            <w:tcW w:w="1282" w:type="pct"/>
            <w:vAlign w:val="center"/>
          </w:tcPr>
          <w:p w14:paraId="32616A5E" w14:textId="0AC7DD0B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Align w:val="center"/>
          </w:tcPr>
          <w:p w14:paraId="5E3A670C" w14:textId="53F7D8CE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Merge/>
            <w:vAlign w:val="center"/>
          </w:tcPr>
          <w:p w14:paraId="01901B78" w14:textId="57F04EBF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43DD4788" w14:textId="77777777" w:rsidTr="007B056F">
        <w:tc>
          <w:tcPr>
            <w:tcW w:w="1180" w:type="pct"/>
            <w:vAlign w:val="center"/>
          </w:tcPr>
          <w:p w14:paraId="44605FF0" w14:textId="19A4B958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14:paraId="404D60E1" w14:textId="77D796AE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14:paraId="738A5C12" w14:textId="4634E61A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1DFB118E" w14:textId="3909D1D9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D2B9086" w14:textId="77777777" w:rsidTr="00A6360D">
        <w:tc>
          <w:tcPr>
            <w:tcW w:w="1180" w:type="pct"/>
            <w:vAlign w:val="center"/>
          </w:tcPr>
          <w:p w14:paraId="1B0E092C" w14:textId="14187CF2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01d</w:t>
            </w:r>
          </w:p>
        </w:tc>
        <w:tc>
          <w:tcPr>
            <w:tcW w:w="1282" w:type="pct"/>
            <w:vAlign w:val="center"/>
          </w:tcPr>
          <w:p w14:paraId="04828B85" w14:textId="6E4F01D8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1F2F1914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14:paraId="6CE1CABC" w14:textId="48C4513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74671" w:rsidRPr="00696B82" w14:paraId="2B368873" w14:textId="77777777" w:rsidTr="007B056F">
        <w:tc>
          <w:tcPr>
            <w:tcW w:w="1180" w:type="pct"/>
            <w:vAlign w:val="center"/>
          </w:tcPr>
          <w:p w14:paraId="11921D13" w14:textId="0A7E1B85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14:paraId="2D721EF8" w14:textId="60FC599D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E1AEB5C" w14:textId="07C80A41" w:rsidR="00C74671" w:rsidRPr="00696B82" w:rsidRDefault="00AE7DAF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1731,80,-</w:t>
            </w:r>
          </w:p>
        </w:tc>
        <w:tc>
          <w:tcPr>
            <w:tcW w:w="1269" w:type="pct"/>
            <w:vMerge/>
            <w:vAlign w:val="center"/>
          </w:tcPr>
          <w:p w14:paraId="39C3E50A" w14:textId="77777777" w:rsidR="00C74671" w:rsidRPr="00696B82" w:rsidRDefault="00C74671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1"/>
          <w:footerReference w:type="default" r:id="rId12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77777777" w:rsidR="0079060A" w:rsidRPr="00696B82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790C5EC" w14:textId="77777777" w:rsidTr="00100A91">
        <w:tc>
          <w:tcPr>
            <w:tcW w:w="8513" w:type="dxa"/>
            <w:gridSpan w:val="4"/>
          </w:tcPr>
          <w:p w14:paraId="59E37F20" w14:textId="77777777" w:rsidR="0079060A" w:rsidRPr="00696B82" w:rsidRDefault="0079060A" w:rsidP="007A26EC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74671" w:rsidRPr="00696B82" w14:paraId="0BEA0C6F" w14:textId="77777777" w:rsidTr="00C9252A">
        <w:tc>
          <w:tcPr>
            <w:tcW w:w="919" w:type="dxa"/>
          </w:tcPr>
          <w:p w14:paraId="5805934C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68F0BD06" w14:textId="0A2445E5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76907707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1F333E4F" w14:textId="7BBB31CE" w:rsidR="00C74671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108AE959" w14:textId="77777777" w:rsidTr="00CB3FF2">
        <w:tc>
          <w:tcPr>
            <w:tcW w:w="919" w:type="dxa"/>
          </w:tcPr>
          <w:p w14:paraId="2CEBA67D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675ECAAC" w14:textId="37028ABD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A920A57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0FA38DFD" w14:textId="484D5BF8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0AAF41FD" w14:textId="77777777" w:rsidTr="00CB3FF2">
        <w:tc>
          <w:tcPr>
            <w:tcW w:w="919" w:type="dxa"/>
          </w:tcPr>
          <w:p w14:paraId="3C26A4EB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31919DF1" w14:textId="77913B8A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A6506D6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0C402E1" w14:textId="3187CC2A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3E53F536" w14:textId="77777777" w:rsidTr="00CB3FF2">
        <w:tc>
          <w:tcPr>
            <w:tcW w:w="919" w:type="dxa"/>
          </w:tcPr>
          <w:p w14:paraId="00834EFF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487A3612" w14:textId="19A616E5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3793B8A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2CEDEAC3" w14:textId="2281A4F6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954E3" w:rsidRPr="00696B82" w14:paraId="44E11D63" w14:textId="77777777" w:rsidTr="00CB3FF2">
        <w:tc>
          <w:tcPr>
            <w:tcW w:w="919" w:type="dxa"/>
          </w:tcPr>
          <w:p w14:paraId="35F2DF33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169856A" w14:textId="1422D1B3" w:rsidR="00C954E3" w:rsidRPr="00696B82" w:rsidRDefault="00C954E3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082FFDD7" w14:textId="77777777" w:rsidR="00C954E3" w:rsidRPr="00696B82" w:rsidRDefault="00C954E3" w:rsidP="00C954E3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429DBC6" w14:textId="055A56E1" w:rsidR="00C954E3" w:rsidRPr="00696B82" w:rsidRDefault="00C954E3" w:rsidP="00C954E3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3E5995"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0B312C5F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C7392C4" w14:textId="77777777" w:rsidTr="00100A91">
        <w:tc>
          <w:tcPr>
            <w:tcW w:w="8513" w:type="dxa"/>
            <w:gridSpan w:val="4"/>
          </w:tcPr>
          <w:p w14:paraId="787FDDF9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74671" w:rsidRPr="00696B82" w14:paraId="34F81E70" w14:textId="77777777" w:rsidTr="00025625">
        <w:tc>
          <w:tcPr>
            <w:tcW w:w="919" w:type="dxa"/>
          </w:tcPr>
          <w:p w14:paraId="58D2460A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15D5C97F" w14:textId="13C9091D" w:rsidR="00C74671" w:rsidRPr="004D1376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9" w:type="dxa"/>
          </w:tcPr>
          <w:p w14:paraId="459FDB2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0A6AAEE" w14:textId="15C3D261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D1376" w:rsidRPr="00696B82" w14:paraId="1BA8A30F" w14:textId="77777777" w:rsidTr="00025625">
        <w:tc>
          <w:tcPr>
            <w:tcW w:w="919" w:type="dxa"/>
          </w:tcPr>
          <w:p w14:paraId="2DB48E73" w14:textId="77777777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  <w:vAlign w:val="center"/>
          </w:tcPr>
          <w:p w14:paraId="02C98A81" w14:textId="64653D95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Ústí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n. L.</w:t>
            </w:r>
          </w:p>
        </w:tc>
        <w:tc>
          <w:tcPr>
            <w:tcW w:w="919" w:type="dxa"/>
          </w:tcPr>
          <w:p w14:paraId="08D3173C" w14:textId="77777777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  <w:vAlign w:val="center"/>
          </w:tcPr>
          <w:p w14:paraId="252F1E42" w14:textId="1D84D7CD" w:rsidR="004D1376" w:rsidRPr="00696B82" w:rsidRDefault="004D1376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Vaníčkova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1594/1, 400 01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Ústí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 n. L.</w:t>
            </w:r>
          </w:p>
        </w:tc>
      </w:tr>
      <w:tr w:rsidR="00C74671" w:rsidRPr="00696B82" w14:paraId="1DA41ECB" w14:textId="77777777" w:rsidTr="00025625">
        <w:tc>
          <w:tcPr>
            <w:tcW w:w="919" w:type="dxa"/>
          </w:tcPr>
          <w:p w14:paraId="2F843FE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7F94E4CF" w14:textId="226F60AC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E1AD7D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36D828DB" w14:textId="146AA30A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73989329" w14:textId="77777777" w:rsidTr="00025625">
        <w:tc>
          <w:tcPr>
            <w:tcW w:w="919" w:type="dxa"/>
          </w:tcPr>
          <w:p w14:paraId="3C3E254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37297607" w14:textId="25DC76BC" w:rsidR="00C74671" w:rsidRPr="00696B82" w:rsidRDefault="00C74671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A1C4D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7508F47F" w14:textId="59FD7B44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3E1ABC8E" w14:textId="77777777" w:rsidTr="00025625">
        <w:tc>
          <w:tcPr>
            <w:tcW w:w="919" w:type="dxa"/>
          </w:tcPr>
          <w:p w14:paraId="3F5282CE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5B70FCDD" w14:textId="4B8A92D2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18A196E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0A2810D7" w14:textId="6C6EC83A" w:rsidR="00C74671" w:rsidRPr="00696B82" w:rsidRDefault="00C74671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2C0731F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31EE6026" w14:textId="77777777" w:rsidTr="00100A91">
        <w:tc>
          <w:tcPr>
            <w:tcW w:w="8513" w:type="dxa"/>
            <w:gridSpan w:val="4"/>
          </w:tcPr>
          <w:p w14:paraId="4C0D3671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C74671" w:rsidRPr="00696B82" w14:paraId="09AAE040" w14:textId="77777777" w:rsidTr="00B350B8">
        <w:tc>
          <w:tcPr>
            <w:tcW w:w="919" w:type="dxa"/>
          </w:tcPr>
          <w:p w14:paraId="20EB5624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  <w:vAlign w:val="center"/>
          </w:tcPr>
          <w:p w14:paraId="7F546FBA" w14:textId="20F7B62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654F2BCD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  <w:vAlign w:val="center"/>
          </w:tcPr>
          <w:p w14:paraId="295053C8" w14:textId="611E841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  <w:tr w:rsidR="00C74671" w:rsidRPr="00696B82" w14:paraId="6492201B" w14:textId="77777777" w:rsidTr="00B350B8">
        <w:tc>
          <w:tcPr>
            <w:tcW w:w="919" w:type="dxa"/>
          </w:tcPr>
          <w:p w14:paraId="7B699A63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  <w:vAlign w:val="center"/>
          </w:tcPr>
          <w:p w14:paraId="1D54CF70" w14:textId="63BF70C4" w:rsidR="00C74671" w:rsidRPr="00696B82" w:rsidRDefault="0091445F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r w:rsidR="004D1376" w:rsidRPr="00D668E1">
                <w:rPr>
                  <w:rStyle w:val="Hypertextovodkaz"/>
                  <w:rFonts w:asciiTheme="minorHAnsi" w:hAnsiTheme="minorHAnsi" w:cstheme="minorHAnsi"/>
                  <w:lang w:val="en-GB"/>
                </w:rPr>
                <w:t>samoodecet@centropol.cz</w:t>
              </w:r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59A6BEBF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  <w:vAlign w:val="center"/>
          </w:tcPr>
          <w:p w14:paraId="6CF09507" w14:textId="4E65520B" w:rsidR="00C74671" w:rsidRPr="00696B82" w:rsidRDefault="0091445F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4" w:history="1">
              <w:r w:rsidR="004D1376" w:rsidRPr="00D668E1">
                <w:rPr>
                  <w:rStyle w:val="Hypertextovodkaz"/>
                  <w:rFonts w:asciiTheme="minorHAnsi" w:hAnsiTheme="minorHAnsi" w:cstheme="minorHAnsi"/>
                  <w:lang w:val="en-GB"/>
                </w:rPr>
                <w:t>https://ekancelar.centropol.cz/</w:t>
              </w:r>
            </w:hyperlink>
            <w:r w:rsidR="004D1376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C74671" w:rsidRPr="00696B82" w14:paraId="7707D939" w14:textId="77777777" w:rsidTr="00B350B8">
        <w:tc>
          <w:tcPr>
            <w:tcW w:w="919" w:type="dxa"/>
          </w:tcPr>
          <w:p w14:paraId="54E6A1AB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  <w:vAlign w:val="center"/>
          </w:tcPr>
          <w:p w14:paraId="2ED5129C" w14:textId="710441D1" w:rsidR="00C74671" w:rsidRPr="00696B82" w:rsidRDefault="00C74671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F37BD51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  <w:vAlign w:val="center"/>
          </w:tcPr>
          <w:p w14:paraId="5866B3AD" w14:textId="4B5DECBB" w:rsidR="00C74671" w:rsidRPr="00696B82" w:rsidRDefault="00C74671" w:rsidP="004D137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74671" w:rsidRPr="00696B82" w14:paraId="593958D4" w14:textId="77777777" w:rsidTr="00B350B8">
        <w:tc>
          <w:tcPr>
            <w:tcW w:w="919" w:type="dxa"/>
          </w:tcPr>
          <w:p w14:paraId="032556B2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  <w:vAlign w:val="center"/>
          </w:tcPr>
          <w:p w14:paraId="4A7BAF39" w14:textId="3DF551EE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  <w:tc>
          <w:tcPr>
            <w:tcW w:w="919" w:type="dxa"/>
          </w:tcPr>
          <w:p w14:paraId="05FDFF45" w14:textId="77777777" w:rsidR="00C74671" w:rsidRPr="00696B82" w:rsidRDefault="00C74671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  <w:vAlign w:val="center"/>
          </w:tcPr>
          <w:p w14:paraId="7C36B136" w14:textId="7D850B03" w:rsidR="00C74671" w:rsidRPr="00696B82" w:rsidRDefault="004D1376" w:rsidP="004D1376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-</w:t>
            </w:r>
          </w:p>
        </w:tc>
      </w:tr>
    </w:tbl>
    <w:p w14:paraId="0811B2B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A02711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ABA8D2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1C5D14F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CFB89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E0AA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E0AED1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43669C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0D4805B4" w14:textId="77777777" w:rsidTr="00100A91">
        <w:tc>
          <w:tcPr>
            <w:tcW w:w="8513" w:type="dxa"/>
            <w:gridSpan w:val="4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79060A" w:rsidRPr="00696B82" w14:paraId="4850ED0A" w14:textId="77777777" w:rsidTr="00100A91">
        <w:tc>
          <w:tcPr>
            <w:tcW w:w="919" w:type="dxa"/>
          </w:tcPr>
          <w:p w14:paraId="1F0F7CA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302E8164" w14:textId="6D4F9ADF" w:rsidR="0079060A" w:rsidRPr="00846F16" w:rsidRDefault="0079060A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0326A7E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D051DB0" w14:textId="2508C092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D9A18BF" w14:textId="77777777" w:rsidTr="00100A91">
        <w:tc>
          <w:tcPr>
            <w:tcW w:w="919" w:type="dxa"/>
          </w:tcPr>
          <w:p w14:paraId="63A26C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1728C0" w14:textId="21F54E2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8833048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1BE00E87" w14:textId="5BD0721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38A209C" w14:textId="77777777" w:rsidTr="00100A91">
        <w:tc>
          <w:tcPr>
            <w:tcW w:w="919" w:type="dxa"/>
          </w:tcPr>
          <w:p w14:paraId="1BB4511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F96F8C7" w14:textId="5AC412C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DD2D0F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BA6A80E" w14:textId="66B68A8A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3F6830A" w14:textId="77777777" w:rsidTr="00100A91">
        <w:tc>
          <w:tcPr>
            <w:tcW w:w="919" w:type="dxa"/>
          </w:tcPr>
          <w:p w14:paraId="151206D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F9E58C6" w14:textId="2F11F3C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8C093E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EF5BA3C" w14:textId="03EDBF5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0A85BCEF" w14:textId="77777777" w:rsidTr="00100A91">
        <w:tc>
          <w:tcPr>
            <w:tcW w:w="919" w:type="dxa"/>
          </w:tcPr>
          <w:p w14:paraId="130DD83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52BCD89" w14:textId="5EC1E0B3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C78AC4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C76F444" w14:textId="52D1C24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7ADC356" w14:textId="77777777" w:rsidR="0079060A" w:rsidRPr="00696B82" w:rsidRDefault="0079060A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54F3633F" w14:textId="77777777" w:rsidTr="00100A91">
        <w:tc>
          <w:tcPr>
            <w:tcW w:w="8513" w:type="dxa"/>
            <w:gridSpan w:val="4"/>
          </w:tcPr>
          <w:p w14:paraId="702BA204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79060A" w:rsidRPr="00696B82" w14:paraId="20623687" w14:textId="77777777" w:rsidTr="00100A91">
        <w:tc>
          <w:tcPr>
            <w:tcW w:w="919" w:type="dxa"/>
          </w:tcPr>
          <w:p w14:paraId="18334207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0178CDBB" w14:textId="4ED610D6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1279217B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C06150B" w14:textId="5416B93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6101021C" w14:textId="77777777" w:rsidTr="00100A91">
        <w:tc>
          <w:tcPr>
            <w:tcW w:w="919" w:type="dxa"/>
          </w:tcPr>
          <w:p w14:paraId="72D2AE0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176A822F" w14:textId="0550CB7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C10F78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61F3CCB4" w14:textId="06CC5F41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22F308F1" w14:textId="77777777" w:rsidTr="00100A91">
        <w:tc>
          <w:tcPr>
            <w:tcW w:w="919" w:type="dxa"/>
          </w:tcPr>
          <w:p w14:paraId="7EBADB83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1842DA5" w14:textId="079A7963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6D7F2E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58F3BB9" w14:textId="696F062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22BDB582" w14:textId="77777777" w:rsidTr="00100A91">
        <w:tc>
          <w:tcPr>
            <w:tcW w:w="919" w:type="dxa"/>
          </w:tcPr>
          <w:p w14:paraId="60AACC2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1366123D" w14:textId="4C2F86AF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DD6787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7D93471" w14:textId="634BA8DC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3ED48253" w14:textId="77777777" w:rsidTr="00100A91">
        <w:tc>
          <w:tcPr>
            <w:tcW w:w="919" w:type="dxa"/>
          </w:tcPr>
          <w:p w14:paraId="62E909A0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21233151" w14:textId="564EB87F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E27C35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67EF046" w14:textId="6899DD95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987C45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79060A" w:rsidRPr="00696B82" w14:paraId="7A341AA3" w14:textId="77777777" w:rsidTr="00100A91">
        <w:tc>
          <w:tcPr>
            <w:tcW w:w="8513" w:type="dxa"/>
            <w:gridSpan w:val="4"/>
          </w:tcPr>
          <w:p w14:paraId="69E46643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79060A" w:rsidRPr="00696B82" w14:paraId="2CDEB37A" w14:textId="77777777" w:rsidTr="00100A91">
        <w:tc>
          <w:tcPr>
            <w:tcW w:w="919" w:type="dxa"/>
          </w:tcPr>
          <w:p w14:paraId="3BEEDA8C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55430619" w14:textId="71D678EA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74DD3BD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4FC0A74A" w14:textId="219F16C3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</w:tr>
      <w:tr w:rsidR="0079060A" w:rsidRPr="00696B82" w14:paraId="35B9A866" w14:textId="77777777" w:rsidTr="00100A91">
        <w:tc>
          <w:tcPr>
            <w:tcW w:w="919" w:type="dxa"/>
          </w:tcPr>
          <w:p w14:paraId="769810E1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42CC8578" w14:textId="4BE9966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B291EA4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33894F72" w14:textId="6F39042A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674E5582" w14:textId="77777777" w:rsidTr="00100A91">
        <w:tc>
          <w:tcPr>
            <w:tcW w:w="919" w:type="dxa"/>
          </w:tcPr>
          <w:p w14:paraId="2E7E1EA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6BD9F2" w14:textId="5B3BCEC0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F94DF7F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D4EE905" w14:textId="7961AA7A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79060A" w:rsidRPr="00696B82" w14:paraId="76D50CFF" w14:textId="77777777" w:rsidTr="00100A91">
        <w:tc>
          <w:tcPr>
            <w:tcW w:w="919" w:type="dxa"/>
          </w:tcPr>
          <w:p w14:paraId="43333D42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FC1EF6F" w14:textId="207773B8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E0B42B9" w14:textId="77777777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10BA566" w14:textId="32D607D4" w:rsidR="0079060A" w:rsidRPr="00696B82" w:rsidRDefault="0079060A" w:rsidP="00100A9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66095C2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71735" w14:textId="77777777" w:rsidR="0091445F" w:rsidRDefault="0091445F" w:rsidP="005349E5">
      <w:r>
        <w:separator/>
      </w:r>
    </w:p>
  </w:endnote>
  <w:endnote w:type="continuationSeparator" w:id="0">
    <w:p w14:paraId="1E015AB9" w14:textId="77777777" w:rsidR="0091445F" w:rsidRDefault="0091445F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3D2F9" w14:textId="77777777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3A2DE6">
          <w:rPr>
            <w:noProof/>
          </w:rPr>
          <w:t>6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1B331" w14:textId="77777777" w:rsidR="0091445F" w:rsidRDefault="0091445F" w:rsidP="005349E5">
      <w:r>
        <w:separator/>
      </w:r>
    </w:p>
  </w:footnote>
  <w:footnote w:type="continuationSeparator" w:id="0">
    <w:p w14:paraId="55E37CFE" w14:textId="77777777" w:rsidR="0091445F" w:rsidRDefault="0091445F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A38CD" w14:textId="094A31E1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  <w:t xml:space="preserve"> </w:t>
    </w:r>
    <w:r w:rsidR="00D61BFC">
      <w:rPr>
        <w:rFonts w:ascii="Calibri" w:hAnsi="Calibri"/>
        <w:lang w:val="en-GB"/>
      </w:rPr>
      <w:t>SE0701813</w:t>
    </w:r>
    <w:r w:rsidR="00133D67">
      <w:rPr>
        <w:rFonts w:ascii="Calibri" w:hAnsi="Calibri"/>
        <w:lang w:val="en-GB"/>
      </w:rPr>
      <w:t>7</w:t>
    </w:r>
    <w:r w:rsidR="00656F64">
      <w:rPr>
        <w:rFonts w:ascii="Calibri" w:hAnsi="Calibri"/>
        <w:lang w:val="en-GB"/>
      </w:rPr>
      <w:t>7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5051FF71" w14:textId="046CFC14" w:rsidR="007A3D7F" w:rsidRPr="005349E5" w:rsidRDefault="00684151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proofErr w:type="spellStart"/>
    <w:r w:rsidRPr="00684151">
      <w:rPr>
        <w:sz w:val="16"/>
        <w:szCs w:val="16"/>
      </w:rPr>
      <w:t>ms-pv</w:t>
    </w:r>
    <w:proofErr w:type="spellEnd"/>
    <w:r w:rsidRPr="00684151">
      <w:rPr>
        <w:sz w:val="16"/>
        <w:szCs w:val="16"/>
      </w:rPr>
      <w:t xml:space="preserve"> 00497/2021</w:t>
    </w:r>
  </w:p>
  <w:p w14:paraId="6D3C05A5" w14:textId="77777777" w:rsidR="007A3D7F" w:rsidRDefault="007A3D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324EC"/>
    <w:rsid w:val="00034035"/>
    <w:rsid w:val="000416CF"/>
    <w:rsid w:val="00046BDD"/>
    <w:rsid w:val="00060605"/>
    <w:rsid w:val="00065DE2"/>
    <w:rsid w:val="00067320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D36A3"/>
    <w:rsid w:val="000E41A2"/>
    <w:rsid w:val="000F27E3"/>
    <w:rsid w:val="000F56B5"/>
    <w:rsid w:val="000F6671"/>
    <w:rsid w:val="000F72B3"/>
    <w:rsid w:val="001010B5"/>
    <w:rsid w:val="00101763"/>
    <w:rsid w:val="00102E8C"/>
    <w:rsid w:val="00104BF6"/>
    <w:rsid w:val="0010535B"/>
    <w:rsid w:val="00105B9F"/>
    <w:rsid w:val="001117DE"/>
    <w:rsid w:val="00114A97"/>
    <w:rsid w:val="0011529A"/>
    <w:rsid w:val="00116E6D"/>
    <w:rsid w:val="001255AB"/>
    <w:rsid w:val="00126309"/>
    <w:rsid w:val="0013231C"/>
    <w:rsid w:val="00133D67"/>
    <w:rsid w:val="0014557E"/>
    <w:rsid w:val="001503D9"/>
    <w:rsid w:val="00150B59"/>
    <w:rsid w:val="00164221"/>
    <w:rsid w:val="00175351"/>
    <w:rsid w:val="001754D0"/>
    <w:rsid w:val="0018480F"/>
    <w:rsid w:val="00196C98"/>
    <w:rsid w:val="001A39F0"/>
    <w:rsid w:val="001C0391"/>
    <w:rsid w:val="001C5A3C"/>
    <w:rsid w:val="001D194F"/>
    <w:rsid w:val="001E2022"/>
    <w:rsid w:val="001F2DB9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770E9"/>
    <w:rsid w:val="0028274E"/>
    <w:rsid w:val="002874ED"/>
    <w:rsid w:val="00293D65"/>
    <w:rsid w:val="002A2015"/>
    <w:rsid w:val="002A4467"/>
    <w:rsid w:val="002A79C8"/>
    <w:rsid w:val="002B5CD0"/>
    <w:rsid w:val="002C33EC"/>
    <w:rsid w:val="002D35F6"/>
    <w:rsid w:val="002D3DBE"/>
    <w:rsid w:val="002D46D1"/>
    <w:rsid w:val="002D7137"/>
    <w:rsid w:val="002F1948"/>
    <w:rsid w:val="00321DA3"/>
    <w:rsid w:val="00324675"/>
    <w:rsid w:val="003358C8"/>
    <w:rsid w:val="00341ADF"/>
    <w:rsid w:val="00350C83"/>
    <w:rsid w:val="00355595"/>
    <w:rsid w:val="00356EA4"/>
    <w:rsid w:val="00364FFB"/>
    <w:rsid w:val="00371453"/>
    <w:rsid w:val="00372B4B"/>
    <w:rsid w:val="00381F00"/>
    <w:rsid w:val="00383CED"/>
    <w:rsid w:val="003865F4"/>
    <w:rsid w:val="003A2DE6"/>
    <w:rsid w:val="003A67DD"/>
    <w:rsid w:val="003A6A34"/>
    <w:rsid w:val="003B3851"/>
    <w:rsid w:val="003B6E70"/>
    <w:rsid w:val="003C3282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067F4"/>
    <w:rsid w:val="00413AA2"/>
    <w:rsid w:val="0042062E"/>
    <w:rsid w:val="00444102"/>
    <w:rsid w:val="00453C95"/>
    <w:rsid w:val="00454FF5"/>
    <w:rsid w:val="00454FFB"/>
    <w:rsid w:val="00455D16"/>
    <w:rsid w:val="00455F7A"/>
    <w:rsid w:val="004608B9"/>
    <w:rsid w:val="004673E9"/>
    <w:rsid w:val="004708DF"/>
    <w:rsid w:val="00475550"/>
    <w:rsid w:val="00487296"/>
    <w:rsid w:val="00495ABE"/>
    <w:rsid w:val="004A203F"/>
    <w:rsid w:val="004A48E0"/>
    <w:rsid w:val="004A53ED"/>
    <w:rsid w:val="004C1AFF"/>
    <w:rsid w:val="004C7F9B"/>
    <w:rsid w:val="004D1376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503AEF"/>
    <w:rsid w:val="00512079"/>
    <w:rsid w:val="00514166"/>
    <w:rsid w:val="005349E5"/>
    <w:rsid w:val="0054070F"/>
    <w:rsid w:val="00544345"/>
    <w:rsid w:val="00545B60"/>
    <w:rsid w:val="005665DB"/>
    <w:rsid w:val="00567606"/>
    <w:rsid w:val="005703C3"/>
    <w:rsid w:val="00576336"/>
    <w:rsid w:val="0057730F"/>
    <w:rsid w:val="00580672"/>
    <w:rsid w:val="00583DB7"/>
    <w:rsid w:val="005873DF"/>
    <w:rsid w:val="00590E76"/>
    <w:rsid w:val="00592358"/>
    <w:rsid w:val="00592C83"/>
    <w:rsid w:val="005A2499"/>
    <w:rsid w:val="005A74AC"/>
    <w:rsid w:val="005B07CE"/>
    <w:rsid w:val="005B5595"/>
    <w:rsid w:val="005C0851"/>
    <w:rsid w:val="005C58D3"/>
    <w:rsid w:val="005C69FF"/>
    <w:rsid w:val="005D00DC"/>
    <w:rsid w:val="005E411E"/>
    <w:rsid w:val="005E7E02"/>
    <w:rsid w:val="005F1276"/>
    <w:rsid w:val="005F7EDA"/>
    <w:rsid w:val="00603B04"/>
    <w:rsid w:val="00604B2B"/>
    <w:rsid w:val="0060615B"/>
    <w:rsid w:val="00614995"/>
    <w:rsid w:val="0062206E"/>
    <w:rsid w:val="0063017A"/>
    <w:rsid w:val="006321E1"/>
    <w:rsid w:val="00634D85"/>
    <w:rsid w:val="00643D61"/>
    <w:rsid w:val="00644FC3"/>
    <w:rsid w:val="0064705B"/>
    <w:rsid w:val="00653122"/>
    <w:rsid w:val="006567B0"/>
    <w:rsid w:val="00656F64"/>
    <w:rsid w:val="00660BBD"/>
    <w:rsid w:val="00663D7C"/>
    <w:rsid w:val="00670E7D"/>
    <w:rsid w:val="00677646"/>
    <w:rsid w:val="00680A5E"/>
    <w:rsid w:val="00683A1D"/>
    <w:rsid w:val="00684151"/>
    <w:rsid w:val="00684E00"/>
    <w:rsid w:val="00693439"/>
    <w:rsid w:val="00696B82"/>
    <w:rsid w:val="006A39C9"/>
    <w:rsid w:val="006B1B37"/>
    <w:rsid w:val="006B4E0D"/>
    <w:rsid w:val="006C4425"/>
    <w:rsid w:val="006D42CC"/>
    <w:rsid w:val="006D5D28"/>
    <w:rsid w:val="006F7047"/>
    <w:rsid w:val="00706287"/>
    <w:rsid w:val="007170E1"/>
    <w:rsid w:val="00720B35"/>
    <w:rsid w:val="00723A8E"/>
    <w:rsid w:val="00725123"/>
    <w:rsid w:val="00725559"/>
    <w:rsid w:val="00725B4E"/>
    <w:rsid w:val="0074183B"/>
    <w:rsid w:val="00741E17"/>
    <w:rsid w:val="00743662"/>
    <w:rsid w:val="00746A3C"/>
    <w:rsid w:val="00767F7E"/>
    <w:rsid w:val="00782861"/>
    <w:rsid w:val="00783004"/>
    <w:rsid w:val="0078495D"/>
    <w:rsid w:val="00785507"/>
    <w:rsid w:val="0079060A"/>
    <w:rsid w:val="00791D27"/>
    <w:rsid w:val="0079688B"/>
    <w:rsid w:val="007A26EC"/>
    <w:rsid w:val="007A2C62"/>
    <w:rsid w:val="007A3D7F"/>
    <w:rsid w:val="007A4B67"/>
    <w:rsid w:val="007A57BC"/>
    <w:rsid w:val="007B056F"/>
    <w:rsid w:val="007B72D5"/>
    <w:rsid w:val="007C62CC"/>
    <w:rsid w:val="007C72EB"/>
    <w:rsid w:val="007D2026"/>
    <w:rsid w:val="007E1742"/>
    <w:rsid w:val="007E5CA0"/>
    <w:rsid w:val="007F2A95"/>
    <w:rsid w:val="00803F0F"/>
    <w:rsid w:val="00812231"/>
    <w:rsid w:val="00820118"/>
    <w:rsid w:val="00824123"/>
    <w:rsid w:val="008430FF"/>
    <w:rsid w:val="008462C6"/>
    <w:rsid w:val="00846F16"/>
    <w:rsid w:val="0084732B"/>
    <w:rsid w:val="008525C3"/>
    <w:rsid w:val="008542AE"/>
    <w:rsid w:val="008603E3"/>
    <w:rsid w:val="0086111E"/>
    <w:rsid w:val="00866401"/>
    <w:rsid w:val="00883164"/>
    <w:rsid w:val="008877E6"/>
    <w:rsid w:val="008B0C6A"/>
    <w:rsid w:val="008B258F"/>
    <w:rsid w:val="008B333C"/>
    <w:rsid w:val="008D223F"/>
    <w:rsid w:val="008D7EF2"/>
    <w:rsid w:val="009048C7"/>
    <w:rsid w:val="00910B50"/>
    <w:rsid w:val="009131B6"/>
    <w:rsid w:val="0091445F"/>
    <w:rsid w:val="0092318A"/>
    <w:rsid w:val="0093028E"/>
    <w:rsid w:val="00930894"/>
    <w:rsid w:val="00934CA4"/>
    <w:rsid w:val="00937916"/>
    <w:rsid w:val="00943AD4"/>
    <w:rsid w:val="00945EC2"/>
    <w:rsid w:val="009542AB"/>
    <w:rsid w:val="0096007F"/>
    <w:rsid w:val="009628FA"/>
    <w:rsid w:val="00963CDE"/>
    <w:rsid w:val="00966B1F"/>
    <w:rsid w:val="00972AE7"/>
    <w:rsid w:val="0097349A"/>
    <w:rsid w:val="00992627"/>
    <w:rsid w:val="00995FC5"/>
    <w:rsid w:val="009A1E3E"/>
    <w:rsid w:val="009A2A85"/>
    <w:rsid w:val="009B5EDB"/>
    <w:rsid w:val="009C439A"/>
    <w:rsid w:val="009C66DF"/>
    <w:rsid w:val="009D0558"/>
    <w:rsid w:val="009F6FCA"/>
    <w:rsid w:val="00A06BDD"/>
    <w:rsid w:val="00A070C6"/>
    <w:rsid w:val="00A11714"/>
    <w:rsid w:val="00A128DE"/>
    <w:rsid w:val="00A147DC"/>
    <w:rsid w:val="00A30099"/>
    <w:rsid w:val="00A50A93"/>
    <w:rsid w:val="00A5459A"/>
    <w:rsid w:val="00A57498"/>
    <w:rsid w:val="00A60568"/>
    <w:rsid w:val="00A6360D"/>
    <w:rsid w:val="00A6451E"/>
    <w:rsid w:val="00A711C0"/>
    <w:rsid w:val="00A77EA0"/>
    <w:rsid w:val="00A84D34"/>
    <w:rsid w:val="00A851A6"/>
    <w:rsid w:val="00A94CEF"/>
    <w:rsid w:val="00AA0796"/>
    <w:rsid w:val="00AA3AA9"/>
    <w:rsid w:val="00AD6CE9"/>
    <w:rsid w:val="00AE7DAF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44C62"/>
    <w:rsid w:val="00B54247"/>
    <w:rsid w:val="00B61B86"/>
    <w:rsid w:val="00B70355"/>
    <w:rsid w:val="00B70913"/>
    <w:rsid w:val="00B72A57"/>
    <w:rsid w:val="00B84D76"/>
    <w:rsid w:val="00B85513"/>
    <w:rsid w:val="00B87812"/>
    <w:rsid w:val="00BA6626"/>
    <w:rsid w:val="00BB7CD2"/>
    <w:rsid w:val="00BC3CB3"/>
    <w:rsid w:val="00BC57C7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18D4"/>
    <w:rsid w:val="00BF5C88"/>
    <w:rsid w:val="00C04E24"/>
    <w:rsid w:val="00C134CF"/>
    <w:rsid w:val="00C17173"/>
    <w:rsid w:val="00C323A4"/>
    <w:rsid w:val="00C40F36"/>
    <w:rsid w:val="00C54D03"/>
    <w:rsid w:val="00C60CEB"/>
    <w:rsid w:val="00C677D2"/>
    <w:rsid w:val="00C70F70"/>
    <w:rsid w:val="00C74671"/>
    <w:rsid w:val="00C75AD5"/>
    <w:rsid w:val="00C82B64"/>
    <w:rsid w:val="00C94469"/>
    <w:rsid w:val="00C954E3"/>
    <w:rsid w:val="00CB14DD"/>
    <w:rsid w:val="00CC1ED9"/>
    <w:rsid w:val="00CC6974"/>
    <w:rsid w:val="00CD53D1"/>
    <w:rsid w:val="00CF1B0A"/>
    <w:rsid w:val="00D00B0F"/>
    <w:rsid w:val="00D14418"/>
    <w:rsid w:val="00D14E82"/>
    <w:rsid w:val="00D35D22"/>
    <w:rsid w:val="00D40326"/>
    <w:rsid w:val="00D4491B"/>
    <w:rsid w:val="00D512CD"/>
    <w:rsid w:val="00D51609"/>
    <w:rsid w:val="00D52CC0"/>
    <w:rsid w:val="00D60B2E"/>
    <w:rsid w:val="00D61BFC"/>
    <w:rsid w:val="00D7125D"/>
    <w:rsid w:val="00D773DB"/>
    <w:rsid w:val="00D85034"/>
    <w:rsid w:val="00D941F1"/>
    <w:rsid w:val="00D95BD6"/>
    <w:rsid w:val="00DA0870"/>
    <w:rsid w:val="00DB0F8C"/>
    <w:rsid w:val="00DB5C40"/>
    <w:rsid w:val="00DB7154"/>
    <w:rsid w:val="00DB73F6"/>
    <w:rsid w:val="00DC084E"/>
    <w:rsid w:val="00DC09EC"/>
    <w:rsid w:val="00DC6BD7"/>
    <w:rsid w:val="00DD102E"/>
    <w:rsid w:val="00DD1249"/>
    <w:rsid w:val="00DD375B"/>
    <w:rsid w:val="00DD395F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25CC5"/>
    <w:rsid w:val="00E2627F"/>
    <w:rsid w:val="00E26C9F"/>
    <w:rsid w:val="00E32C5F"/>
    <w:rsid w:val="00E32D65"/>
    <w:rsid w:val="00E34B5B"/>
    <w:rsid w:val="00E4198E"/>
    <w:rsid w:val="00E42A77"/>
    <w:rsid w:val="00E504A6"/>
    <w:rsid w:val="00E50E0C"/>
    <w:rsid w:val="00E5301B"/>
    <w:rsid w:val="00E55074"/>
    <w:rsid w:val="00E75F92"/>
    <w:rsid w:val="00E95DFF"/>
    <w:rsid w:val="00E97B39"/>
    <w:rsid w:val="00E97F80"/>
    <w:rsid w:val="00EA2398"/>
    <w:rsid w:val="00EA3651"/>
    <w:rsid w:val="00EA3F71"/>
    <w:rsid w:val="00EB13FD"/>
    <w:rsid w:val="00EC04B8"/>
    <w:rsid w:val="00EC2236"/>
    <w:rsid w:val="00ED112C"/>
    <w:rsid w:val="00EE31C1"/>
    <w:rsid w:val="00EE5324"/>
    <w:rsid w:val="00EE7D52"/>
    <w:rsid w:val="00EF3247"/>
    <w:rsid w:val="00EF34E3"/>
    <w:rsid w:val="00EF43A4"/>
    <w:rsid w:val="00EF4BE6"/>
    <w:rsid w:val="00F07CE9"/>
    <w:rsid w:val="00F27128"/>
    <w:rsid w:val="00F2775F"/>
    <w:rsid w:val="00F31183"/>
    <w:rsid w:val="00F53C62"/>
    <w:rsid w:val="00F5410A"/>
    <w:rsid w:val="00F72167"/>
    <w:rsid w:val="00F74367"/>
    <w:rsid w:val="00F74A9A"/>
    <w:rsid w:val="00F83E4F"/>
    <w:rsid w:val="00F92491"/>
    <w:rsid w:val="00F93A80"/>
    <w:rsid w:val="00F958B2"/>
    <w:rsid w:val="00FA18E4"/>
    <w:rsid w:val="00FA61D3"/>
    <w:rsid w:val="00FB1C93"/>
    <w:rsid w:val="00FB2481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5E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A23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A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moodecet@centropol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kazky@centropol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n@tendersystems.cz" TargetMode="External"/><Relationship Id="rId14" Type="http://schemas.openxmlformats.org/officeDocument/2006/relationships/hyperlink" Target="https://ekancelar.centropol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884B-F1C3-471E-806D-530ADF4F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1984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</cp:lastModifiedBy>
  <cp:revision>3</cp:revision>
  <dcterms:created xsi:type="dcterms:W3CDTF">2021-06-14T10:34:00Z</dcterms:created>
  <dcterms:modified xsi:type="dcterms:W3CDTF">2021-07-08T06:51:00Z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696cb-b06f-4214-b638-7b05ae4e5e38_Enabled">
    <vt:lpwstr>true</vt:lpwstr>
  </property>
  <property fmtid="{D5CDD505-2E9C-101B-9397-08002B2CF9AE}" pid="3" name="MSIP_Label_bdb696cb-b06f-4214-b638-7b05ae4e5e38_SetDate">
    <vt:lpwstr>2021-04-06T04:55:58Z</vt:lpwstr>
  </property>
  <property fmtid="{D5CDD505-2E9C-101B-9397-08002B2CF9AE}" pid="4" name="MSIP_Label_bdb696cb-b06f-4214-b638-7b05ae4e5e38_Method">
    <vt:lpwstr>Privileged</vt:lpwstr>
  </property>
  <property fmtid="{D5CDD505-2E9C-101B-9397-08002B2CF9AE}" pid="5" name="MSIP_Label_bdb696cb-b06f-4214-b638-7b05ae4e5e38_Name">
    <vt:lpwstr>Interní data</vt:lpwstr>
  </property>
  <property fmtid="{D5CDD505-2E9C-101B-9397-08002B2CF9AE}" pid="6" name="MSIP_Label_bdb696cb-b06f-4214-b638-7b05ae4e5e38_SiteId">
    <vt:lpwstr>53b8d820-e2f7-4682-858f-9e2aeec6ffd9</vt:lpwstr>
  </property>
  <property fmtid="{D5CDD505-2E9C-101B-9397-08002B2CF9AE}" pid="7" name="MSIP_Label_bdb696cb-b06f-4214-b638-7b05ae4e5e38_ActionId">
    <vt:lpwstr>97a148dc-a39a-498a-bee5-0000d333144a</vt:lpwstr>
  </property>
  <property fmtid="{D5CDD505-2E9C-101B-9397-08002B2CF9AE}" pid="8" name="MSIP_Label_bdb696cb-b06f-4214-b638-7b05ae4e5e38_ContentBits">
    <vt:lpwstr>0</vt:lpwstr>
  </property>
</Properties>
</file>